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ACJC/389/2014 vom 6. Januar 2014</w:t>
      </w:r>
    </w:p>
    <w:p>
      <w:r>
        <w:t>GE Cour de justice, 2014-01-06, FR</w:t>
      </w:r>
    </w:p>
    <w:p>
      <w:r>
        <w:rPr>
          <w:b/>
        </w:rPr>
        <w:t xml:space="preserve">Quelle: </w:t>
      </w:r>
      <w:r>
        <w:t>https://mcp.opencaselaw.ch/entscheid/ge_gerichte_ACJC_389_2014</w:t>
      </w:r>
    </w:p>
    <w:p>
      <w:r>
        <w:t>FR: GE_GERICHTE ACJC/389/2014 du 6 janvier 2014</w:t>
      </w:r>
    </w:p>
    <w:p>
      <w:r>
        <w:t>IT: GE_GERICHTE ACJC/389/2014 del 6 gennaio 2014</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écrit et motivé, doit être intro- 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- 5/8 -</w:t>
      </w:r>
    </w:p>
    <w:p>
      <w:r>
        <w:t>C/17583/2013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 mier juge (CHAIX, Introduction au recours de la nouvelle procédure civile fédé- rale, SJ 2009 II p. 257 ss, n. 16 et 20).</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 ci a rendu la décision attaquée.</w:t>
      </w:r>
    </w:p>
    <w:p>
      <w:r>
        <w:rPr>
          <w:b/>
        </w:rPr>
        <w:t>E. 2.3</w:t>
      </w:r>
    </w:p>
    <w:p>
      <w:r>
        <w:t>Les pièces nouvelles produites par l'intimée seront en conséquences déclarées irrecevables, ainsi que les allégués de fait s'y rapportant.</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nos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t>- 6/8 -</w:t>
      </w:r>
    </w:p>
    <w:p>
      <w:r>
        <w:t>C/17583/2013</w:t>
      </w:r>
    </w:p>
    <w:p>
      <w:r>
        <w:rPr>
          <w:b/>
        </w:rPr>
        <w:t>E. 3.2</w:t>
      </w:r>
    </w:p>
    <w:p>
      <w:r>
        <w:t>Le juge doit ordonner la mainlevée définitive de l'opposition, à moins que l'opposant ne prouve par titre que la dette a été éteinte ou qu'il a obtenu un sursis, postérieurement au jugement, ou qu'il ne se prévale de la prescription (art. 81 al. 1 LP). Parmi les moyens libératoires qui remettent en cause l'existence ou l'exigibilité de la créance déduite en poursuite (art. 81 al. 1 LP) figure la modification du juge- ment sur lequel le poursuivant se fonde pour requérir la mainlevée définitive de l'opposition (ATF 55 II 161; GILLIERON, op. cit., n. 51 ad art. 81 LP; cf. STAEHELIN, op. cit., n. 47 ad art. 80 LP). Toutefois, tant selon la doctrine que selon la jurisprudence, un jugement portant condamnation à verser une contri- bution d'entretien constitue un titre de mainlevée définitive tant qu'il n'a pas été modifié par un nouveau jugement entré en force de chose jugée (arrêts du Tribunal fédéral 5A_311/2012 du 15 mai 2013 consid. 4.2; 5P.82/2002 du 11 avril 2002 consid. 3b; STAEHELIN, op. cit., et les arrêts cantonaux cités; BÜHLER/SPÜHLER, Commentaire bernois, vol. II/1/1/2, 1980, n. 190 ad art. 157 CC), c'est-à-dire qui est devenu définitif, parce qu'il ne peut plus être attaqué par une voie de recours ordinaire qui, de par la loi, a un effet suspensif (STAEHELIN, op. cit., n. 7 ss ad art. 80 LP; arrêt du Tribunal fédéral 5A_419/2009 du 15 septembre 2009 consid. 7.3.1).</w:t>
      </w:r>
    </w:p>
    <w:p>
      <w:r>
        <w:rPr>
          <w:b/>
        </w:rPr>
        <w:t>E. 3.3</w:t>
      </w:r>
    </w:p>
    <w:p>
      <w:r>
        <w:t>Dans le cas d'espèce, l'arrêt rendu par la Cour de justice le 8 août 2012, condamnant le recourant à verser 5'100 fr. par mois à l'intimée, dès le 1er avril 2012, à titre de contribution à l'entretien de la famille, est définitif et exécutoire. Il constitue dès lors un titre de mainlevée définitive. Certes, le recourant a requis et obtenu, en Pologne, une décision modifiant la contribution d'entretien fixée par les tribunaux genevois. Toutefois, tel que cela ressort expressément de l'attestation de la Cour de Varsovie, la décision du</w:t>
      </w:r>
    </w:p>
    <w:p>
      <w:r>
        <w:rPr>
          <w:b/>
        </w:rPr>
        <w:t>E. 3.4</w:t>
      </w:r>
    </w:p>
    <w:p>
      <w:r>
        <w:t>Dès lors, c'est à bon droit que le Tribunal de première instance a fait droit à la requête de l'intimée. Le recours sera en conséquence rejeté.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et mis à la charge du recourant, qui succombe. Le recourant étant au bénéfice de l'assistance judiciaire, les frais seront provisoirement supportés par l'Etat (art. 122 al. 1 let. b et al. 2, 123 al. 1 CPC et 19 RAJ [E 2 05.04]). Le recourant sera également condamné aux dépens de l'intimée, assistée d'un conseil devant la Cour, arrêtés à 500 fr., débours et TVA compris (art. 96 et 105 al. 2 CPC; art. 85, 89 et 90 du règlement fixant le tarif des greffes en matière civile du 22 décembre 2010, E 1 05.10; art. 20, 25 et 26 LaCC; art. 25 LTVA). 5. La valeur litigieuse, au sens de l'art. 51 LTF, est inférieure à 30'000 fr. * * * * *</w:t>
      </w:r>
    </w:p>
    <w:p>
      <w:r>
        <w:t>- 8/8 -</w:t>
      </w:r>
    </w:p>
    <w:p>
      <w:r>
        <w:t>C/17583/2013 PAR CES MOTIFS, La Chambre civile : A la forme : Déclare recevable le recours interjeté le 15 janvier 2014 par A______ contre le jugement JTPI/186/2014 rendu le 6 janvier 2014 par le Tribunal de première instance dans la cause C/17583/2013-20 SML. Déclare irrecevables les pièces nouvelles produites par B______, ainsi que les allégués de fait s'y rapportant. Au fond : Rejette ce recours. Déboute les parties de toutes autres conclusions. Sur les frais du recours : Arrête les frais judiciaires à 600 fr. et les met à la charge de A______. Dit que les frais judiciaires à charge de A______ sont provisoirement supportés par l'Etat. Condamne A______ à verser 500 fr. à B______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ATF 131 III 87 consid. 3.2).</w:t>
      </w:r>
    </w:p>
    <w:p>
      <w:r>
        <w:rPr>
          <w:b/>
        </w:rPr>
        <w:t>E. 11</w:t>
      </w:r>
    </w:p>
    <w:p>
      <w:r>
        <w:t>septembre 2013 est provisoirement exécutoire mais n'est pas passée en force de chose jugée, compte tenu de l'appel formé par le recourant. Ainsi, conformément à la jurisprudence rappelée ci-avant, cette décision n'est pas définitive. Partant,</w:t>
      </w:r>
    </w:p>
    <w:p>
      <w:r>
        <w:t>- 7/8 -</w:t>
      </w:r>
    </w:p>
    <w:p>
      <w:r>
        <w:t>C/17583/2013 l'arrêt de la Cour de justice du 8 août 2012 constitue un titre de mainlevée définitive, au sens de l'art. 80 LP. Le recourant n'a pas fait valoir d'autres moyens libératoires.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