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ACJC/387/2019 vom 7. März 2019</w:t>
      </w:r>
    </w:p>
    <w:p>
      <w:r>
        <w:t>GE Cour de justice, 2019-03-07, FR</w:t>
      </w:r>
    </w:p>
    <w:p>
      <w:r>
        <w:rPr>
          <w:b/>
        </w:rPr>
        <w:t xml:space="preserve">Quelle: </w:t>
      </w:r>
      <w:r>
        <w:t>https://mcp.opencaselaw.ch/entscheid/ge_gerichte_ACJC_387_2019</w:t>
      </w:r>
    </w:p>
    <w:p>
      <w:r>
        <w:t>FR: GE_GERICHTE ACJC/387/2019 du 7 mars 2019</w:t>
      </w:r>
    </w:p>
    <w:p>
      <w:r>
        <w:t>IT: GE_GERICHTE ACJC/387/2019 del 7 marzo 2019</w:t>
      </w:r>
    </w:p>
    <w:p>
      <w:pPr>
        <w:pStyle w:val="Heading2"/>
      </w:pPr>
      <w:r>
        <w:t>Erwägungen</w:t>
      </w:r>
    </w:p>
    <w:p>
      <w:r>
        <w:rPr>
          <w:b/>
        </w:rPr>
        <w:t>E. 6</w:t>
      </w:r>
    </w:p>
    <w:p>
      <w:r>
        <w:t>Les frais judiciaires d'appel et d'appel joint, arrêtés à 1'600 fr., seront compensés, à due concurrence, avec l'avance de 800 fr. fournie par l'appelant, qui reste acquise à l'Etat de Genève. Ils seront répartis par moitié entre les parties, la part mise à la charge de l'intimé, qui plaide au bénéfice de l'assistance judiciaire, étant provisoirement supportée par l'Etat de Genève (art. 122 et 123 al. 1 CPC).</w:t>
      </w:r>
    </w:p>
    <w:p>
      <w:r>
        <w:t>Compte tenu du caractère familial du litige, chaque partie supportera ses propres dépens d'appel (art. 107 al. 1 let. c CPC).</w:t>
      </w:r>
    </w:p>
    <w:p>
      <w:r>
        <w:t>* * * * *</w:t>
      </w:r>
    </w:p>
    <w:p>
      <w:r>
        <w:t>- 11/12 -</w:t>
      </w:r>
    </w:p>
    <w:p>
      <w:r>
        <w:t>C/20167/2016 PAR CES MOTIFS, La Chambre civile : A la forme : Déclare recevable l'appel interjeté le 2 mai 2018 par A______ contre le jugement JTPI/3741/2018 rendu le 6 mars 2018 par le Tribunal de première instance dans la cause C/20167/2016-19. Au fond : Annule les chiffres 1 et 2 du dispositif de ce jugement et statuant à nouveau sur ces points : Réserve à A______ un droit de visite sur son fils B______, lequel s'exercera à raison d'une heure par quinzaine au Point rencontre, en modalité "1 pour 1", soit en présence continue d'un intervenant. Complète le chiffre 3 du dispositif du jugement attaqué en ce sens qu'il est donné instruction au curateur chargé de l'organisation et de la surveillance des relations personnelles de solliciter la modification des modalités du droit de visite en fonction de l'évolution de la situation et de l'issue de la procédure pénale. Confirme ce jugement pour le surplus. Sur les frais : Arrête les frais judiciaires d'appel et d'appel joint à 1'600 fr., les répartit par moitié entre les parties et les compense à due concurrence avec l'avance fournie par A______, qui reste acquise à l'Etat de Genève. Laisse provisoirement à la charge de l'Etat de Genève la somme de 800 fr. due par B______ à titre de frais judiciaires d'appel. Dit que chaque partie supporte ses propres dépens d'appel. Siégeant : Madame Ursula ZEHETBAUER GHAVAMI, présidente; Madame Sylvie DROIN, Monsieur Ivo BUETTI, juges; Madame Camille LESTEVEN, greffière. La présidente : Ursula ZEHETBAUER GHAVAMI</w:t>
      </w:r>
    </w:p>
    <w:p>
      <w:r>
        <w:t>La greffière : Camille LESTEVEN</w:t>
      </w:r>
    </w:p>
    <w:p>
      <w:r>
        <w:t>- 12/12 -</w:t>
      </w:r>
    </w:p>
    <w:p>
      <w:r>
        <w:t>C/20167/2016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