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ACJC/386/2023 vom 13. Juli 2022</w:t>
      </w:r>
    </w:p>
    <w:p>
      <w:r>
        <w:t>GE Cour de justice, 2022-07-13, FR</w:t>
      </w:r>
    </w:p>
    <w:p>
      <w:r>
        <w:rPr>
          <w:b/>
        </w:rPr>
        <w:t xml:space="preserve">Quelle: </w:t>
      </w:r>
      <w:r>
        <w:t>https://mcp.opencaselaw.ch/entscheid/ge_gerichte_ACJC_386_2023</w:t>
      </w:r>
    </w:p>
    <w:p>
      <w:r>
        <w:t>FR: GE_GERICHTE ACJC/386/2023 du 13 juillet 2022</w:t>
      </w:r>
    </w:p>
    <w:p>
      <w:r>
        <w:t>IT: GE_GERICHTE ACJC/386/2023 del 13 luglio 2022</w:t>
      </w:r>
    </w:p>
    <w:p>
      <w:pPr>
        <w:pStyle w:val="Heading2"/>
      </w:pPr>
      <w:r>
        <w:t>Erwägungen</w:t>
      </w:r>
    </w:p>
    <w:p>
      <w:r>
        <w:rPr>
          <w:b/>
        </w:rPr>
        <w:t>E. 1.1</w:t>
      </w:r>
    </w:p>
    <w:p>
      <w:r>
        <w:t>La voie de l'appel est ouverte contre les décisions finales de première instance (art. 308 al. 1 let. a CPC), dans les causes patrimoniales dont la valeur litigieuse est supérieure à 10'000 fr. (art. 308 al. 2 CPC), ce qui est le cas en l'espèce. Interjeté en temps utile (art. 145 let. c et 311 CPC), l'appel est recevable sous cet angle.</w:t>
      </w:r>
    </w:p>
    <w:p>
      <w:r>
        <w:rPr>
          <w:b/>
        </w:rPr>
        <w:t>E. 1.2</w:t>
      </w:r>
    </w:p>
    <w:p>
      <w:r>
        <w:t>Aux termes de l'art. 312 al. 1 CPC, l'instance d'appel notifie l'appel à la partie adverse pour qu'elle se détermine par écrit, sauf s'il est manifestement irrecevable ou infondé. La réponse à l'appel n'a toutefois aucune incidence sur l'objet du litige, de sorte que si l'intimée ne dépose pas de réponse à l'appel, l'instance d'appel peut statuer sur la base du dossier (ATF 144 III 394 consid. 4.1.1). Aussi, le fait que l'intimée n'ait pas déposé de réponse à l'appel n'affecte pas le pouvoir d'examen de la Cour, qui statue sur la base du dossier.</w:t>
      </w:r>
    </w:p>
    <w:p>
      <w:r>
        <w:rPr>
          <w:b/>
        </w:rPr>
        <w:t>E. 1.3</w:t>
      </w:r>
    </w:p>
    <w:p>
      <w:r>
        <w:t>Compte tenu de l'élection de for et de droit prévue par les parties, le Tribunal a admis, à juste titre, la compétence des tribunaux genevois pour connaître du litige</w:t>
      </w:r>
    </w:p>
    <w:p>
      <w:r>
        <w:t>- 5/10 -</w:t>
      </w:r>
    </w:p>
    <w:p>
      <w:r>
        <w:t>C/5263/2021 (art. 23 de la Convention concernant la compétence judiciaire, la reconnaissance et l'exécution des décisions en matière civile et commerciale conclue à Lugano le 30 octobre 2007 [CL ; RS 0.275.12]; ATF 87 III 23 consid. 2; arrêt du Tribunal fédéral 5A_164/2008 du 9 septembre 2008 consid. 4.2.3 n. p. in ATF 134 III 656) et l'application du droit suisse (art. 116 LDIP). Ce point n'est au demeurant pas contesté. 1.4.1 La Cour revoit le fond du litige en fait et en droit avec un plein pouvoir d'examen (art. 310 CPC) et applique le droit d'office (art. 57 CPC). En particulier, elle contrôle librement l'appréciation des preuves effectuée par le juge de première instance et vérifie si celui-ci pouvait admettre les faits qu'il a retenus (ATF 138 III 374 consid. 4.3.1; arrêt du Tribunal fédéral 4A_153/2014 du 28 août 2014 consid. 2.2.3). Conformément à l'art. 311 al. 1 CPC, elle le fait cependant uniquement sur les points du jugement que l'appelant estime entachés d'erreurs et qui ont fait l'objet d'une motivation suffisante - et, partant, recevable -, pour violation du droit (art. 310 let. a CPC) ou constatation inexacte des faits (art. 310 let. b CPC). Hormis les cas de vices manifestes, elle doit en principe se limiter à statuer sur les critiques formulées dans la motivation écrite contre la décision de première instance (ATF 142 III 413 consid. 2.2.4; arrêt du Tribunal fédéral 5A_111/2016 du 6 septembre 2016 consid. 5.3). 1.4.2 En l'espèce, l'appelante invoque, à l'appui de son appel, tant une constatation inexacte des faits qu'une violation du droit. En tant que de besoin, l'état de fait retenu par le Tribunal a été rectifié et complété ci-dessus, de sorte que les griefs de l'appelante en lien avec la constatation inexacte des faits ne seront pas traités plus avant.</w:t>
      </w:r>
    </w:p>
    <w:p>
      <w:r>
        <w:rPr>
          <w:b/>
        </w:rPr>
        <w:t>E. 2</w:t>
      </w:r>
    </w:p>
    <w:p>
      <w:r>
        <w:t>juin 2022 dont le dispositif lui a été notifié le 7 juin 2022, que celle-ci n'a pas utilisé, soit le 23 juin 2022. Aussi, les courriels adressés par l'appelante à l'intimée entre le 29 septembre 2022 et le 13 octobre 2022 sont recevables en tant qu'ils sont postérieurs à la clôture des débats principaux de première instance et qu'ils ont été produits sans retard (pièce 10). Quant aux autres pièces produites par l'appelante (pièces 3 à 9), elles sont toutes antérieures à la clôture des débats principaux. L'appelante expose qu'elle n'a eu de raison de les produire qu'après s'être rendue compte, en septembre 2022, de ce qu'elle avait procédé par erreur à des versements en faveur de l'intimée, dont elle réclame le remboursement devant la Cour. Cela étant, elle n'expose pas les raisons qui l'auraient empêchée, en faisant preuve de diligence, de découvrir, avant le 22 juin 2022, qu'elle avait procédé, par erreur, à des versements en faveur de l'intimée et, en conséquence, de produire en première instance les pièces fondant prétendument sa prétention. Aussi, les pièces 3 à 9 produites par l'appelante ainsi que les allégués y relatifs sont irrecevables.</w:t>
      </w:r>
    </w:p>
    <w:p>
      <w:r>
        <w:rPr>
          <w:b/>
        </w:rPr>
        <w:t>E. 2.1</w:t>
      </w:r>
    </w:p>
    <w:p>
      <w:r>
        <w:t>La Cour examine d'office la recevabilité des moyens de preuve nouveaux en appel (REETZ/HILBER, Kommentar zur Schweizerischen Zivilprozessordnung [ZPO], 3ème éd., 2016, n. 26 ad art. 317 CPC). Selon l'art. 317 al. 1 CPC, les faits et moyens de preuve ne sont pris en compte qu'aux conditions suivantes : ils sont invoqués ou produits sans retard (lit. a) et ils ne pouvaient être invoqués ou produits devant la première instance bien que la partie qui s'en prévaut ait fait preuve de la diligence requise (lit. b). Ainsi, s'agissant des vrais nova, soit des faits et moyens de preuve qui se sont produits après la fin des débats principaux de première instance, soit après la clôture des plaidoiries finales, respectivement après que la cause a été gardée à juger (ATF 143 III 272 consid. 2.3.2), ils sont en principe toujours admissibles en appel, pourvu qu’ils soient invoqués sans retard dès leur découverte (ATF</w:t>
      </w:r>
    </w:p>
    <w:p>
      <w:r>
        <w:t>- 6/10 -</w:t>
      </w:r>
    </w:p>
    <w:p>
      <w:r>
        <w:t>C/5263/2021 144 III 349 consid. 4.2.1; arrêts du Tribunal fédéral 5A_621/2012 du 20 mars 2013 consid. 5.1 et 4A_643/2011 du 24 février 2012 consid. 3.2.2). En ce qui concerne les pseudo nova, soit les faits et moyens de preuve survenus avant la fin des débats principaux de première instance, respectivement avant que la cause a été gardée à juger, leur admissibilité est largement limitée en appel, dès lors qu'ils sont irrecevables lorsque le plaideur aurait déjà pu les introduire dans la procédure de première instance s'il avait été diligent (ATF 143 III 42 consid. 4.1). Il appartient au plaideur qui entend les invoquer devant l'instance d'appel de démontrer qu'il a fait preuve de la diligence requise, ce qui implique notamment d'exposer précisément les raisons pour lesquelles le fait ou le moyen de preuve n’a pas pu être produit en première instance (ATF 144 III 349 consid. 4.2.1).</w:t>
      </w:r>
    </w:p>
    <w:p>
      <w:r>
        <w:rPr>
          <w:b/>
        </w:rPr>
        <w:t>E. 2.2</w:t>
      </w:r>
    </w:p>
    <w:p>
      <w:r>
        <w:t>En l'espèce, les débats principaux ont été clôturés au lendemain de l'échéance de l'ultime délai de réponse de quinze jours imparti à l'intimée par ordonnance du</w:t>
      </w:r>
    </w:p>
    <w:p>
      <w:r>
        <w:rPr>
          <w:b/>
        </w:rPr>
        <w:t>E. 3</w:t>
      </w:r>
    </w:p>
    <w:p>
      <w:r>
        <w:t>L'appelante formule une nouvelle conclusion en appel.</w:t>
      </w:r>
    </w:p>
    <w:p>
      <w:r>
        <w:rPr>
          <w:b/>
        </w:rPr>
        <w:t>E. 3.1</w:t>
      </w:r>
    </w:p>
    <w:p>
      <w:r>
        <w:t>La Cour examine d'office la recevabilité des conclusions nouvelles en appel (REETZ/HILBER, Kommentar zur Schweizerischen Zivilprozessordnung, 2016, n. 26 ad art. 317 CPC). L'art. 317 al. 2 CPC autorise une modification des conclusions en appel à la double condition que les conclusions modifiées soient en lien de connexité avec la</w:t>
      </w:r>
    </w:p>
    <w:p>
      <w:r>
        <w:t>- 7/10 -</w:t>
      </w:r>
    </w:p>
    <w:p>
      <w:r>
        <w:t>C/5263/2021 prétention initiale ou que la partie adverse ait consenti à la modification, d'une part (art. 317 al. 2 let. a et 227 al. 1 CPC), et qu'elles reposent sur des faits ou moyens de preuve nouveaux, d'autre part (art. 317 al. 2 let. b CPC). Pour examiner le lien de connexité entre la conclusion nouvelle et la demande initiale, le contenu de la prétention juridique se détermine, selon la jurisprudence, au regard de l'action ouverte, des conclusions de la demande et des faits invoqués à l'appui de celle-ci, autrement dit par le complexe de faits sur lequel les conclusions se fondent. Un complexe de faits voisin suffit (ATF 139 III 126 consid. 3.2.2; arrêt du Tribunal fédéral 5A_16/2016 du 26 mai 2016 consid. 5.1). La prise de conclusions nouvelles en appel doit être admise restrictivement, car elle porte atteinte au principe du double degré de juridiction. Les deux conditions posées par la loi sont cumulatives (JEANDIN, Commentaire romand, Code de procédure civile, 2ème ed. 2019, CPC, n° 10 ad art. 317 CPC).</w:t>
      </w:r>
    </w:p>
    <w:p>
      <w:r>
        <w:rPr>
          <w:b/>
        </w:rPr>
        <w:t>E. 3.2</w:t>
      </w:r>
    </w:p>
    <w:p>
      <w:r>
        <w:t>En l'espèce, l'appelante formule, en appel, une nouvelle conclusion tendant à ce que l'intimée soit condamnée à lui payer EUR 40'370 fr. 48 avec intérêts à 5 % l'an dès le 2 octobre 2022.</w:t>
      </w:r>
    </w:p>
    <w:p>
      <w:r>
        <w:t>Dans la mesure où l'appelante fonde cette nouvelle conclusion sur les faits nouveaux qu'elle présente en appel et qui sont, pour l'essentiel, irrecevables, cette conclusion doit également être considérée comme irrecevable.</w:t>
      </w:r>
    </w:p>
    <w:p>
      <w:r>
        <w:t>Au demeurant, cette conclusion ne présente pas de lien de connexité avec la seule question litigieuse en appel, à savoir la recevabilité de la conclusion constatatoire que l'appelante avait formulée en première instance.</w:t>
      </w:r>
    </w:p>
    <w:p>
      <w:r>
        <w:t>Par conséquent, la nouvelle conclusion de l'appelante est irrecevable.</w:t>
      </w:r>
    </w:p>
    <w:p>
      <w:r>
        <w:rPr>
          <w:b/>
        </w:rPr>
        <w:t>E. 4</w:t>
      </w:r>
    </w:p>
    <w:p>
      <w:r>
        <w:t>L'appelante reproche au Tribunal d'avoir déclaré irrecevable la conclusion qu'elle avait formulée devant lui tendant à ce qu'il dise et constate que B______ SRL ne disposait d'aucune créance à son encontre.</w:t>
      </w:r>
    </w:p>
    <w:p>
      <w:r>
        <w:rPr>
          <w:b/>
        </w:rPr>
        <w:t>E. 4.1</w:t>
      </w:r>
    </w:p>
    <w:p>
      <w:r>
        <w:t>Selon l'art. 88 CPC, le demandeur intente une action en constatation de droit pour faire constater par un tribunal l'existence ou l'inexistence d'un droit ou d'un rapport de droit et, en vertu de l'art. 59 al. 2 let. a CPC, une telle action n'est recevable que si le demandeur y a un intérêt digne de protection. L'action en constatation de droit au sens de ces dispositions est ouverte si le demandeur a un intérêt - de fait ou de droit - digne de protection à la constatation immédiate de la situation de droit. Il découle de la jurisprudence qu'il faut (1) qu'il y ait une incertitude concernant les droits du demandeur, (2) que la suppression de cette incertitude soit justifiée, en ce sens que l'on ne puisse exiger du demandeur qu'il tolère plus longtemps la persistance de cette incertitude parce qu'elle l'entrave</w:t>
      </w:r>
    </w:p>
    <w:p>
      <w:r>
        <w:t>- 8/10 -</w:t>
      </w:r>
    </w:p>
    <w:p>
      <w:r>
        <w:t>C/5263/2021 dans sa liberté de décision, (3) que cette incertitude puisse être levée par la constatation judiciaire et (4) qu'une action condamnatoire (ou en exécution) ou une action formatrice (ou en modification de droit), qui lui permettrait d'obtenir directement le respect de son droit ou l'exécution de son obligation, ne soit pas ouverte (ATF 141 III 68 consid. 2.2 et 2.3; 135 III 378 consid. 2.2; arrêts du Tribunal fédéral 5A_408/2016 du 21 juillet 2017 consid. 5.1; 4A_688/2016 du</w:t>
      </w:r>
    </w:p>
    <w:p>
      <w:r>
        <w:rPr>
          <w:b/>
        </w:rPr>
        <w:t>E. 4.2</w:t>
      </w:r>
    </w:p>
    <w:p>
      <w:r>
        <w:t>En l'espèce, l'appelante soutient avoir un intérêt digne de protection en ceci que l'intimée l'aurait menacée d'agir devant les juridictions italiennes pour faire valoir ses prétentions, ce qu'elle entendait éviter en formulant la conclusion constatatoire litigieuse. Cela étant, contrairement à ce que soutient l'appelante, l'intimée ne l'a pas menacée d'agir devant les juridictions italiennes mais d'agir devant "les juridictions compétentes", ainsi qu'elle l'allègue d'ailleurs elle-même, soit devant les juridictions genevoises. En effet, en tant que le contrat conclu entre les parties stipule l'élection d'un for exclusif à Genève, les juridictions italiennes – qui, de même que les juridictions suisses, appliquent la CL pour déterminer le for compétent (cf. consid. 1.3) – ne sont pas compétentes pour connaître du litige entre les parties. Aussi, il n'existe pas de risque de procédure judiciaire imminente à l'étranger qui fonderait un intérêt digne de protection de l'appelante à formuler la conclusion constatatoire litigieuse afin de s'assurer du for qu'elle préfère. Contrairement, à ce qu'elle soutient, le caractère international du litige ne peut suffire à lui seul à fonder un intérêt digne de protection s'il n'existe pas de risque concret de forum running. L'appelante n'allègue pas qu'elle disposerait, pour d'autres raisons, d'un intérêt digne de protection à la prise de cette conclusion. Par conséquent, c'est à bon droit que le Tribunal a retenu que la conclusion constatatoire prise devant lui par l'appelante était irrecevable. L'appel est infondé et le jugement sera confirmé.</w:t>
      </w:r>
    </w:p>
    <w:p>
      <w:r>
        <w:rPr>
          <w:b/>
        </w:rPr>
        <w:t>E. 5</w:t>
      </w:r>
    </w:p>
    <w:p>
      <w:r>
        <w:t>Au fond : Confirme le jugement entrepris. Déboute les parties de toutes autres conclusions. Sur les frais : Arrête les frais judiciaires d'appel à 2'700 fr., les met à charge de A______ SA et les compense avec l'avance de frais qu'elle a fournie, laquelle reste acquise à l'Etat de Genève. Dit qu'il n'est pas alloué de dépens. Siégeant : Monsieur Cédric-Laurent MICHEL, président; Madame Pauline ERARD, Madame Paola CAMPOMAGNANI, juges; Madame Camille LESTEVEN,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