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ACJC/385/2018 vom 23. März 2018</w:t>
      </w:r>
    </w:p>
    <w:p>
      <w:r>
        <w:t>GE Cour de justice, 2018-03-23, FR</w:t>
      </w:r>
    </w:p>
    <w:p>
      <w:r>
        <w:rPr>
          <w:b/>
        </w:rPr>
        <w:t xml:space="preserve">Quelle: </w:t>
      </w:r>
      <w:r>
        <w:t>https://mcp.opencaselaw.ch/entscheid/ge_gerichte_ACJC_385_2018</w:t>
      </w:r>
    </w:p>
    <w:p>
      <w:r>
        <w:t>FR: GE_GERICHTE ACJC/385/2018 du 23 mars 2018</w:t>
      </w:r>
    </w:p>
    <w:p>
      <w:r>
        <w:t>IT: GE_GERICHTE ACJC/385/2018 del 23 marzo 2018</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2</w:t>
      </w:r>
    </w:p>
    <w:p>
      <w:r>
        <w:t>La procédure sommaire est applicable (art. 251 let. a CPC) et le juge établit les faits d'office (maxime inquisitoire, art. 255 let. a CPC).</w:t>
      </w:r>
    </w:p>
    <w:p>
      <w:r>
        <w:rPr>
          <w:b/>
        </w:rPr>
        <w:t>E. 3.1</w:t>
      </w:r>
    </w:p>
    <w:p>
      <w:r>
        <w:t>Dans le cadre d'un recours, les conclusions, les allégations de faits et les preuves nouvelles sont irrecevables (art. 326 al. 1 CPC). Les dispositions spéciales de la loi sont réservées (al. 2).</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w:t>
      </w:r>
    </w:p>
    <w:p>
      <w:r>
        <w:t>- 8/14 -</w:t>
      </w:r>
    </w:p>
    <w:p>
      <w:r>
        <w:t>C/25695/2017 le soient dans le délai de recours (ATF 139 III 491 consid. 4.4; arrêt du Tribunal fédéral 5A_427/2013 du 14 août 2013 consid. 5.2.1.2).</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w:t>
      </w:r>
    </w:p>
    <w:p>
      <w:r>
        <w:t>Il découle toutefois du droit d'être entendu que le créancier intimé peut produire à l'appui de sa réponse au recours des nova propres à réfuter ceux - vrais ou faux - invoqués par le débiteur recourant (arrêt du Tribunal fédéral 5A_899/2014 du</w:t>
      </w:r>
    </w:p>
    <w:p>
      <w:r>
        <w:rPr>
          <w:b/>
        </w:rPr>
        <w:t>E. 3.2</w:t>
      </w:r>
    </w:p>
    <w:p>
      <w:r>
        <w:t>En l'espèce, la recourante a produit avec son recours tant des pièces relatives à sa solvabilité que des pièces établies antérieurement à la date à laquelle le Tribunal a gardé la cause à juger. S'agissant de pseudo-nova, ces pièces, versées à la procédure sans retard, ainsi que les allégués de fait s'y rapportant, sont recevables. Il en va de même des vrais nova, lesquels visent à établir l'absence de cessation de paiement de la recourante. Tel est par ailleurs le cas des pièces nouvelles versées par la recourante à l'appui de sa réplique, dès lors qu'elles concernent la question de sa solvabilité.</w:t>
      </w:r>
    </w:p>
    <w:p>
      <w:r>
        <w:t>Les pièces produites par l'intimé sont également recevables, conformément à la jurisprudence rappelée ci-avant. 4. La recourante sollicite en premier lieu que la Cour enjoigne le conseil de l'intimé de cesser de postuler, motif pris d'un conflit d'intérêts.</w:t>
      </w:r>
    </w:p>
    <w:p>
      <w:r>
        <w:t>Dans la mesure où cette conclusion a été prise dans le cadre de la réplique, que les parties ont été avisées de ce que la cause était gardée à juger par la Cour de céans et que le présent arrêt est prononcé, cette conclusion devient sans objet.</w:t>
      </w:r>
    </w:p>
    <w:p>
      <w:r>
        <w:rPr>
          <w:b/>
        </w:rPr>
        <w:t>E. 5</w:t>
      </w:r>
    </w:p>
    <w:p>
      <w:r>
        <w:t>La recourante reproche au Tribunal d'avoir retenu qu'elle se trouvait en situation de suspension de paiement et d'avoir prononcé sa faillite.</w:t>
      </w:r>
    </w:p>
    <w:p>
      <w:r>
        <w:rPr>
          <w:b/>
        </w:rPr>
        <w:t>E. 5.1</w:t>
      </w:r>
    </w:p>
    <w:p>
      <w:r>
        <w:t>Selon l'art. 190 al. 1 ch. 2 LP, le créancier peut requérir la faillite sans poursuite préalable si le débiteur sujet à la poursuite par voie de faillite a suspendu ses paiements.</w:t>
      </w:r>
    </w:p>
    <w:p>
      <w:r>
        <w:t>- 9/14 -</w:t>
      </w:r>
    </w:p>
    <w:p>
      <w:r>
        <w:t>C/25695/2017</w:t>
      </w:r>
    </w:p>
    <w:p>
      <w:r>
        <w:t>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w:t>
      </w:r>
    </w:p>
    <w:p>
      <w:r>
        <w:t>Dans son arrêt 5A_730/2013,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w:t>
      </w:r>
    </w:p>
    <w:p>
      <w:r>
        <w:t>Le poursuivi doit rendre vraisemblable sa solvabilité, en produisant des titres immédiatement disponibles.</w:t>
      </w:r>
    </w:p>
    <w:p>
      <w:r>
        <w:t>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GILIIERON, Commentaire de la loi fédérale sur la poursuite pour dettes et la faillite, 1999, n. 44 ad art. 174 LP, p. 98). Si le poursuivi est astreint à tenir une comptabilité commerciale courante, en application de l'art. 957 CO, il doit être à même de produire un ratio de liquidités, le cas échéant certifié exact par l'organe de révision (GILIIERON, op. cit., n. 44 ad art. 174 LP; COMETTA, op. cit., n. 10 ad art. 174 LP et les références citées).</w:t>
      </w:r>
    </w:p>
    <w:p>
      <w:r>
        <w:t>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Commentaire romand LP, 2005, n. 8 ad art. 174 LP).</w:t>
      </w:r>
    </w:p>
    <w:p>
      <w:r>
        <w:t>Le motif de la faillite posé à l'art. 190 al. 1 ch. 2 LP est la suspension de paiements. Il s'agit d'une notion juridique indéterminée qui accorde au juge un large pouvoir d'appréciation. Pour qu'il y ait suspension de paiements, il faut que</w:t>
      </w:r>
    </w:p>
    <w:p>
      <w:r>
        <w:t>- 10/14 -</w:t>
      </w:r>
    </w:p>
    <w:p>
      <w:r>
        <w:t>C/25695/2017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5A_711/2012 du 17 décembre 2012 consid. 5.2; 5A_439/2010 du 11 novembre 2010 consid. 4, publié in SJ 2011 I p. 175).</w:t>
      </w:r>
    </w:p>
    <w:p>
      <w:r>
        <w:t>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w:t>
      </w:r>
    </w:p>
    <w:p>
      <w:r>
        <w:t>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op. cit., n. 2 ad art. 190 LP).</w:t>
      </w:r>
    </w:p>
    <w:p>
      <w:r>
        <w:rPr>
          <w:b/>
        </w:rPr>
        <w:t>E. 5.2</w:t>
      </w:r>
    </w:p>
    <w:p>
      <w:r>
        <w:t>L'employeur, qui finance une formation continue à son employé, peut convenir avec celui-ci d'une clause de remboursement et lier sa contribution au maintien des rapports de travail pendant un certain temps après l'achèvement de la formation. Il pourra donc demander le remboursement de tout ou partie des frais de formation au travailleur, à condition que l'obligation de rembourser ait été valablement convenue avant la fréquentation du cours, que le montant à rembourser et la période du remboursement soient précisés et que la durée de l'engagement ne porte pas atteinte pendant une période excessive au droit du travailleur de résilier son contrat (Wyler/Heinzer, Droit du travail, 3ème éd. 2014, pp. 307 ss; STREIFF/VON KAENEL/RUDOLPH, Arbeitsvertrag, 7ème éd., 2012, n. 7 ad art. 327a CO; DANTHE, in Commentaire du contrat de travail, 2013, n. 17 ad art. 327a CO).</w:t>
      </w:r>
    </w:p>
    <w:p>
      <w:r>
        <w:t>- 11/14 -</w:t>
      </w:r>
    </w:p>
    <w:p>
      <w:r>
        <w:t>C/25695/2017</w:t>
      </w:r>
    </w:p>
    <w:p>
      <w:r>
        <w:t>Lorsque les parties ont valablement convenu d'une clause de remboursement, il se pose encore la question de savoir si l'obligation de remboursement peut devenir caduque en raison de l'auteur de la résiliation et des motifs de cette dernière. Si l'employeur résilie le contrat de travail de manière abusive, l'art. 156 CO exclut toute obligation de remboursement (WYLER/HEINZER, op. cit., p. 309; STREIFF/VON KAENEL/RUDOLPH, op. cit., n. 7 ad art. 327a CO p. 497).</w:t>
      </w:r>
    </w:p>
    <w:p>
      <w:r>
        <w:t>Selon certaines jurisprudences cantonales et la doctrine dominante, l'art. 340c al. 2 CO - lequel prévoit qu'une prohibition de faire concurrence cesse si l'employeur résilie le contrat sans que le travailleur lui ait donné un motif justifié - devrait être appliqué par analogie aux clauses de remboursement de frais de formation. Ainsi, lorsque la fin des relations de travail est imputable à l'employeur, ladite clause ne déploie aucun effet (DANTHE, op. cit., n. 18 ad art. 327a CO; STREIFF/VON KAENEL/RUDOLPH, op. cit., n. 7 ad art. 327a CO pp. 497 s. et les références citées; contra : WYLER/HEINZER, op. cit., p. 309). Jusqu'à présent, le Tribunal fédéral a laissé cette question ouverte (arrêt du Tribunal fédéral 4A_90/2009 du 25 septembre 2009 consid. 3).</w:t>
      </w:r>
    </w:p>
    <w:p>
      <w:r>
        <w:t>Dans un arrêt du 24 février 2012 (JAR 2012 p. 487 ss), le Tribunal cantonal des Grisons devait trancher si une clause de remboursement était valable malgré la résiliation du contrat de travail par l'employeur. Appliquant l'art. 340c al. 2 CO par analogie, il a considéré que l'employeur avait un motif justifié de résilier le contrat de travail au sens de la disposition précitée, dans la mesure où l'employé ne donnait plus satisfaction à son employeur. L'employé devait donc rembourser les frais de formation à l'employeur.</w:t>
      </w:r>
    </w:p>
    <w:p>
      <w:r>
        <w:rPr>
          <w:b/>
        </w:rPr>
        <w:t>E. 5.3</w:t>
      </w:r>
    </w:p>
    <w:p>
      <w:r>
        <w:t>En l'espèce, lors du dépôt de la requête de faillite sans poursuite préalable le</w:t>
      </w:r>
    </w:p>
    <w:p>
      <w:r>
        <w:rPr>
          <w:b/>
        </w:rPr>
        <w:t>E. 5.4</w:t>
      </w:r>
    </w:p>
    <w:p>
      <w:r>
        <w:t>Dans ces conditions, le chiffre 1 du dispositif du jugement entrepris sera annulé et la faillite rétractée.</w:t>
      </w:r>
    </w:p>
    <w:p>
      <w:r>
        <w:rPr>
          <w:b/>
        </w:rPr>
        <w:t>E. 5.5</w:t>
      </w:r>
    </w:p>
    <w:p>
      <w:r>
        <w:t>Au vu du prononcé du présent arrêt, la requête de mesures provisionnelles de l'intimé devient sans objet.</w:t>
      </w:r>
    </w:p>
    <w:p>
      <w:r>
        <w:t>- 13/14 -</w:t>
      </w:r>
    </w:p>
    <w:p>
      <w:r>
        <w:t>C/25695/2017</w:t>
      </w:r>
    </w:p>
    <w:p>
      <w:r>
        <w:rPr>
          <w:b/>
        </w:rPr>
        <w:t>E. 6</w:t>
      </w:r>
    </w:p>
    <w:p>
      <w:r>
        <w:t>novembre 2017, il n'était pas contesté que les salaires des mois de juin et juillet 2017 n'avaient pas été réglés à l'intimé. Celui-ci a ainsi rendu vraisemblable être créancier de la recourante.</w:t>
      </w:r>
    </w:p>
    <w:p>
      <w:r>
        <w:t>Depuis lors, la recourante a procédé au paiement desdits salaires, part relative au 13ème salaire compris, sous déduction de deux montants, soit le remboursement des frais de formation, selon la convention conclue par les parties à cet égard, et le fonds de caisse non restitué par l'intimé à la fin des rapports de travail. Conformément aux principes rappelés ci-avant, il apparaît vraisemblable que la recourante puisse solliciter le remboursement desdits frais de formation à l'intimé, bien que ce soit elle qui a mis un terme au contrat de travail. L'intimé n'a pour le surplus pas contesté avoir conservé par devers lui le fonds de caisse. Il peut dès lors être retenu que la recourante a réglé sa dette à l'intimé.</w:t>
      </w:r>
    </w:p>
    <w:p>
      <w:r>
        <w:t>Reste à examiner si la recourante est solvable. Il ressort des titres versés à la procédure que la recourante, contrairement à ce que soutient l'intimé, a réglé l'intégralité des salaires du personnel du mois de novembre 2017 (début décembre 2017). Elle s'est pour le surplus acquittée des</w:t>
      </w:r>
    </w:p>
    <w:p>
      <w:r>
        <w:t>- 12/14 -</w:t>
      </w:r>
    </w:p>
    <w:p>
      <w:r>
        <w:t>C/25695/2017 salaires, y compris le 13ème salaire, des mois de décembre 2017 et janvier 2018, représentant respectivement 110'131 fr. et 90'782 fr. Il résulte également des pièces que la recourante a conclu de nombreux contrats fixes avec sa clientèle, générant un chiffre d'affaires annuel brut de l'ordre de 854'000 fr. La recourante a en outre rendu vraisemblable la conclusion de plusieurs autres contrats avec d'autres clients. En 2016, le chiffre d'affaires brut de la recourante s'est élevé à 2'860'148 fr. 83 et les charges à 2'392'493 fr. 72, laissant un bénéfice brut de 467'655 fr. 11. Après paiement des autres charges, l'exercice 2017 s'est soldé par une perte de 64'773 fr. 73. Durant les mois de décembre 2017 et janvier 2018, le chiffre d'affaires brut de la société était de 234'203 fr. 95. Au 19 décembre 2017, le montant des créances de la recourante envers ses clients s'élevait à 245'828 fr. 10, et le montant de ses dettes (hors poursuites) de 180'200 fr. S'il résulte de l'extrait des poursuites que quatre-vingt-neuf poursuites sont inscrites dans les livres, douze d'entre elles ont été payées par la recourante, soit en mains de l'Office, soit directement aux créanciers, pour un montant de 91'929 fr. 20 et concernaient majoritairement des créances de droit public. Par ailleurs, entre le 31 mars et le 24 novembre 2017, la recourante a réglé à l'Office des poursuites une somme de 197'625 fr. 63 des montants requis en poursuite. Elle s'est également acquittée de 32'758 fr. 90 auprès de divers créanciers et a conclu un plan de paiement avec l'un des créanciers, pour une somme de 16'149 fr. Il n'est enfin pas établi que la recourante ferait systématiquement opposition aux poursuites qui lui sont notifiées.</w:t>
      </w:r>
    </w:p>
    <w:p>
      <w:r>
        <w:t>Au vu de ce qui précède, la Cour retient que la recourante a certes connu des difficultés financières, mais que celles-ci n'atteignent pas le degré de gravité et de pérennité nécessaire pour justifier le prononcé d'une faillite sans poursuite préalable, étant souligné que, conformément à la doctrine et à la jurisprudence précitée, il convient de se montrer restrictif dans l'interprétation de la notion de suspension des paiements. Il se justifie également de tenir compte de ce que la recourante emploie plus de trente personnes.</w:t>
      </w:r>
    </w:p>
    <w:p>
      <w:r>
        <w:t>Les conditions du prononcé d'une faillite sans poursuite préalable ne sont par conséquent pas réalisées.</w:t>
      </w:r>
    </w:p>
    <w:p>
      <w:r>
        <w:rPr>
          <w:b/>
        </w:rPr>
        <w:t>E. 6.1</w:t>
      </w:r>
    </w:p>
    <w:p>
      <w:r>
        <w:t>Les frais judiciaires du recours sont arrêtés à 750 fr. (art. 52 let. b et 61 al. 1 OELP) et compensés avec l'avance des frais du même montant, laquelle reste ainsi acquise à l'Etat de Genève (art. 111 al. 1 CPC).</w:t>
      </w:r>
    </w:p>
    <w:p>
      <w:r>
        <w:t>Compte tenu des circonstances particulières de la présente cause, en particulier du fait que le jugement de faillite était fondé au moment où il a été prononcé, dès lors que la créance de l'intimé n'avait pas été réglée, il convient, en application - à tout le moins par analogie - des art. 107 al. 1 let. b et/ou f, voire de l'art. 108 CPC, de s'écarter du principe selon lequel les frais sont mis à la charge de la partie succombante (art. 106 al. 1, 1ère phrase, CPC) et de laisser les frais judiciaires à la charge de la recourante.</w:t>
      </w:r>
    </w:p>
    <w:p>
      <w:r>
        <w:rPr>
          <w:b/>
        </w:rPr>
        <w:t>E. 6.2</w:t>
      </w:r>
    </w:p>
    <w:p>
      <w:r>
        <w:t>Compte tenu de l'issue du litige, il ne se justifie pas d'allouer de dépens.</w:t>
      </w:r>
    </w:p>
    <w:p>
      <w:r>
        <w:rPr>
          <w:b/>
        </w:rPr>
        <w:t>E. 6.3</w:t>
      </w:r>
    </w:p>
    <w:p>
      <w:r>
        <w:t>Pour le surplus, dès lors que le jugement entrepris était fondé au moment où il a été prononcé, il n'y a pas lieu de modifier la répartition des frais de première instance opérée par le Tribunal (cf. art. 318 al. 3 CPC). Les chiffres 2 et 3 du dispositif du jugement seront par conséquent confirmés. * * * * *</w:t>
      </w:r>
    </w:p>
    <w:p>
      <w:r>
        <w:t>- 14/14 -</w:t>
      </w:r>
    </w:p>
    <w:p>
      <w:r>
        <w:t>C/25695/2017 PAR CES MOTIFS, La Chambre civile : A la forme : Déclare recevable le recours interjeté le 22 décembre 2017 par A______SARL contre le jugement JTPI/16425/2017 rendu le 7 décembre 2017 par le Tribunal de première instance dans la cause C/25695/2017-5 SFC. Au fond : Annule le chiffre 1 du dispositif du jugement attaqué. Rétracte la faillite sans poursuite préalable de A______SARL prononcée par le Tribunal de première instance le 7 décembre 2017. Confirme le jugement entrepris pour le surplus. Déboute les parties de toutes autres conclusions. Sur les frais : Arrête les frais judiciaires du recours à 750 fr., les met à la charge de A______SARL et les compense avec l'avance de frais fournie, acquise à l'Etat de Genève. Dit qu'il n'est pas alloué de dépens de recours.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