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ACJC/383/2022 vom 13. Dezember 2021</w:t>
      </w:r>
    </w:p>
    <w:p>
      <w:r>
        <w:t>GE Cour de justice, 2021-12-13, FR</w:t>
      </w:r>
    </w:p>
    <w:p>
      <w:r>
        <w:rPr>
          <w:b/>
        </w:rPr>
        <w:t xml:space="preserve">Quelle: </w:t>
      </w:r>
      <w:r>
        <w:t>https://mcp.opencaselaw.ch/entscheid/ge_gerichte_ACJC_383_2022</w:t>
      </w:r>
    </w:p>
    <w:p>
      <w:r>
        <w:t>FR: GE_GERICHTE ACJC/383/2022 du 13 décembre 2021</w:t>
      </w:r>
    </w:p>
    <w:p>
      <w:r>
        <w:t>IT: GE_GERICHTE ACJC/383/2022 del 13 dicembre 2021</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Le recours est recevable pour violation du droit et pour constatation manifestement inexacte des faits (art. 320 CPC).</w:t>
      </w:r>
    </w:p>
    <w:p>
      <w:r>
        <w:rPr>
          <w:b/>
        </w:rPr>
        <w:t>E. 2</w:t>
      </w:r>
    </w:p>
    <w:p>
      <w:r>
        <w:t>Invoquant une constatation manifestement inexacte des faits, soit arbitraire, la recourante fait grief au premier juge d'avoir considéré qu'elle n'avait pas rendu vraisemblable de moyen libératoire, en particulier le vice de consentement, et d'avoir à tort prononcé la mainlevée provisoire.</w:t>
      </w:r>
    </w:p>
    <w:p>
      <w:r>
        <w:rPr>
          <w:b/>
        </w:rPr>
        <w:t>E. 2.1</w:t>
      </w:r>
    </w:p>
    <w:p>
      <w:r>
        <w:t>Lorsqu'elle est saisie d'un recours, la Cour doit conduire son raisonnement juridique sur la base des faits retenus par le premier juge et ne peut s'en écarter que s'ils ont été établis de façon manifestement inexacte (ATF 137 I 58 consid. 4.1.2).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qui seront susceptibles d'avoir une incidence déterminante sur le sort de la cause (JEANDIN, Commentaire romand, Code de procédure civile, 2ème éd. 2019, n. 5 ad art. 320 CPC et les références citées).</w:t>
      </w:r>
    </w:p>
    <w:p>
      <w:r>
        <w:t>- 6/11 -</w:t>
      </w:r>
    </w:p>
    <w:p>
      <w:r>
        <w:t>C/16249/2021 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in SJ 2009 II p. 266; HOHL, Procédure civile, tome II, 2010, n. 2515).</w:t>
      </w:r>
    </w:p>
    <w:p>
      <w:r>
        <w:rPr>
          <w:b/>
        </w:rPr>
        <w:t>E. 2.2</w:t>
      </w:r>
    </w:p>
    <w:p>
      <w:r>
        <w:t>En l'espèce, la recourante soutient que le premier juge avait mal apprécié le contenu du courriel que lui a adressé l'intimée le 13 décembre 2020 et aurait dû retenir le lien direct entre la convention conclue par les parties le 29 septembre 2020 et la procédure pénale pendante, évoquée à deux reprises, rendant vraisemblable l'erreur invoquée. Le Tribunal n'a toutefois pas établi les faits de manière arbitraire. Il a en effet fait état de la procédure pénale pendante de même que du courriel de l'intimée précité. Autre est la question de savoir si la recourante a rendu vraisemblable un vice du consentement ou une autre raison permettant de retenir une invalidation du contrat conclu entre les parties. Ces points seront traités ci-après.</w:t>
      </w:r>
    </w:p>
    <w:p>
      <w:r>
        <w:rPr>
          <w:b/>
        </w:rPr>
        <w:t>E. 3.1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au moment de la réquisition de poursuite (ATF 139 III 297 consid. 2.3.1; 136 III 624 consid. 4.2.2; 136 III 627 consid. 2). La reconnaissance de dette peut découler du rapprochement de plusieurs pièces, pour autant que les éléments nécessaires en résultent (ATF 122 II 126 consid. 2; SJ 2004 I 209 consid. 3.1; arrêt du Tribunal fédéral 5P_290/2006 du 12 octobre 2006 consid. 3.1.2).</w:t>
      </w:r>
    </w:p>
    <w:p>
      <w:r>
        <w:rPr>
          <w:b/>
        </w:rPr>
        <w:t>E. 3.2</w:t>
      </w:r>
    </w:p>
    <w:p>
      <w:r>
        <w:t>La procédure de mainlevée provisoire est une procédure sur pièces (Urkundenprozess), dont le but n'est pas de constater la réalité de la créance en</w:t>
      </w:r>
    </w:p>
    <w:p>
      <w:r>
        <w:t>- 7/11 -</w:t>
      </w:r>
    </w:p>
    <w:p>
      <w:r>
        <w:t>C/16249/2021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 Le juge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(arrêt du Tribunal fédéral 5D_43/2019 du 24 mai 2019 consid. 5.2.1; ATF 124 III 501 consid. 3a). Le juge de la mainlevée provisoire ne peut procéder qu'à l'interprétation objective du titre fondée sur le principe de la confiance (arrêt du Tribunal fédéral 5A_867/2018 du 4 mars 2019 consid. 4.1.3). Il ne peut toutefois prendre en compte que les éléments intrinsèques au titre, à l'exclusion des éléments extrinsèques qui échappent à son pouvoir d'examen (ATF 145 III 20 consid. 4.3.3; arrêts du Tribunal fédéral 5A_648/2018 du 25 février 2019 consid. 3.2.1; 5A_89/2019 du 1er mai 2019 consid. 5.1.3, publié in SJ 2019 I p. 400; 5A_867/2018 du 4 mars 2019 consid. 4.1.3).</w:t>
      </w:r>
    </w:p>
    <w:p>
      <w:r>
        <w:rPr>
          <w:b/>
        </w:rPr>
        <w:t>E. 3.3</w:t>
      </w:r>
    </w:p>
    <w:p>
      <w:r>
        <w:t>Un contrat écrit justifie en principe la mainlevée provisoire de l'opposition pour la somme d'argent incombant au poursuivi si les conditions d'exigibilité de la dette sont établies (arrêt du Tribunal fédéral 5A_465/2014 du 20 août 2014 consid. 7.2.1.2). Pour justifier la mainlevée de l'opposition, la créance doit être exigible au plus tard au moment de l'introduction de la poursuite, c'est-à-dire lors de la notification du commandement de payer (VEUILLET, La mainlevée de l'opposition, 2017, n. 95 ad art. 82 LP).</w:t>
      </w:r>
    </w:p>
    <w:p>
      <w:r>
        <w:rPr>
          <w:b/>
        </w:rPr>
        <w:t>E. 3.4</w:t>
      </w:r>
    </w:p>
    <w:p>
      <w:r>
        <w:t>Conformément à l'art. 82 al. 2 LP, le poursuivi peut faire échec à la mainlevée en rendant immédiatement vraisemblable sa libération. Il peut se prévaloir de tous les moyens de droit civil - exceptions ou objections - qui infirment la</w:t>
      </w:r>
    </w:p>
    <w:p>
      <w:r>
        <w:t>- 8/11 -</w:t>
      </w:r>
    </w:p>
    <w:p>
      <w:r>
        <w:t>C/16249/2021 reconnaissance de dette (ATF 142 III 720 consid. 4.1). Il n'a pas à apporter la preuve absolue (ou stricte) de ses moyens libératoires, mais seulement à les rendre vraisemblables. Le juge n'a donc pas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Le juge de la mainlevée n'intervient en principe pas d'office mais ne statue que sur le moyen soulevé par le poursuivi. Seuls les faits doivent être rendus vraisemblables par le poursuivi, le juge examinant d'office le bien-fondé juridique des moyens libératoires, selon le principe jura novit curia. Le Tribunal fédéral admet toutefois que, lorsqu'il statue sur la base de faits rendus simplement vraisemblables, le juge se contente d'un examen sommaire du droit. Il se peut que le juge de la mainlevée ne soit pas persuadé de l'existence des faits allégués par le poursuivi. Dès lors, il n'est pas arbitraire de considérer l'opposition comme mal fondée lorsque la "contre-preuve" fournie par le poursuivant laisse subsister un doute sur l'exactitude des documents prétendument libératoires fournis par le débiteur (VEUILLET, op. cit., n. 107, 108 et 110 ad art. 82 LP).</w:t>
      </w:r>
    </w:p>
    <w:p>
      <w:r>
        <w:rPr>
          <w:b/>
        </w:rPr>
        <w:t>E. 3.5</w:t>
      </w:r>
    </w:p>
    <w:p>
      <w:r>
        <w:t>Selon l'art. 23 CO, le contrat n'oblige pas celle des parties qui, au moment de conclure, était dans une erreur essentielle. En vertu de l'art. 24 al. 1 ch. 4 CO, l'erreur est essentielle notamment lorsqu'elle porte sur des faits que la loyauté commerciale permettait à celui qui se prévaut de son erreur de considérer comme des éléments nécessaires du contrat. Ainsi, il faut tout d'abord que l'erreur porte sur un fait subjectivement essentiel.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Il faut que le cocontractant puisse se rendre compte, de bonne foi, que l'erreur de la victime porte sur un fait qui était objectivement de nature à la déterminer à conclure le contrat ou à le conclure aux conditions convenues (ATF 136 III 528 consid. 3.4.1; arrêt du Tribunal fédéral 4A_249/2017 du</w:t>
      </w:r>
    </w:p>
    <w:p>
      <w:r>
        <w:rPr>
          <w:b/>
        </w:rPr>
        <w:t>E. 3.6</w:t>
      </w:r>
    </w:p>
    <w:p>
      <w:r>
        <w:t>Dans le présent cas, les parties ont signé, le 29 septembre 2020, une convention d'indemnisation de départ, aux termes de laquelle la recourante s'est engagée à verser à l'intimée la somme de 86'956 fr. 80. Ce contrat vaut, comme l'a retenu à bon droit le premier juge, reconnaissance de dette et, partant, titre de mainlevée provisoire. La recourante soutient avoir immédiatement rendu vraisemblable sa libération, en raison de l'invalidation de ladite convention. Pour fonder son invalidation, elle se prévaut d'une erreur essentielle, soit l'existence d'un lien direct entre la conclusion de cette convention, pour acheter le silence de l'intimée, et la procédure pénale actuellement pendante devant les tribunaux allemands. Ce raisonnement ne saurait être suivi. En effet, les allégations de la recourante en lien avec l'erreur essentielle qu'elle invoque se fondent uniquement sur un courrier électronique que lui a adressé l'intimée. Ce titre fait certes mention de ce que la société avait été contactée par un inspecteur de la police criminelle allemande, et que d'éventuelles procédures judiciaires dans plusieurs pays pourraient mener à diverses investigations. Toutefois, à lui seul, ledit titre ne rend pas vraisemblable l'allégué lien entre la conclusion de la convention et l'ouverture d'une procédure pénale en Allemagne, dont la Cour ignore tout, seule la première page d'un acte du Parquet de E______ ayant été versée à la procédure. L'allégation selon laquelle l'administrateur de la recourante aurait subi des pressions de l'une des personnes autorisées à la représenter n'est pour le surplus corroborée par aucun titre. S'agissant du projet de convention entre l'intimée et une société tierce de droit français du 24 décembre 2020, ce titre n'est pas signé, de sorte que le recourante ne rend pas vraisemblable qu'il lierait les précitées. En tout état, la recourante échoue à démontrer que l'engagement de l'intimée de ne pas témoigner des activités de ladite société française serait lié à la conclusion de la convention d'indemnisation. Au vu des éléments qui précèdent, la recourante n'a pas rendu vraisemblable s'être trouvée dans une erreur essentielle.</w:t>
      </w:r>
    </w:p>
    <w:p>
      <w:r>
        <w:rPr>
          <w:b/>
        </w:rPr>
        <w:t>E. 3.7</w:t>
      </w:r>
    </w:p>
    <w:p>
      <w:r>
        <w:t>Entièrement infondé, le recours sera rejeté.</w:t>
      </w:r>
    </w:p>
    <w:p>
      <w:r>
        <w:t>- 10/11 -</w:t>
      </w:r>
    </w:p>
    <w:p>
      <w:r>
        <w:t>C/16249/2021 4. 4.1 Les frais judicaires du recours, arrêtés à 750 fr. (art. 48 et 61 OELP) seront mis à la charge de la recourante, qui succombe (art. 106 al. 1 CPC), et compensés avec l'avance fournie par elle, qui reste acquise à l'Etat de Genève (art. 111 al. 1 CPC). 4.2 Au regard de la complexité de la cause, des griefs invoqués par la recourante ainsi que de l'ampleur de l'activité nécessaire de l'intimée, la recourante sera condamnée à verser à l'intimée la somme de 1'500 fr. à titre de dépens de recours, débours et TVA compris, (art. 84, 85, 88 et 90 RTFMC; art. 23, 25 et 26 LaCC). * * * * *</w:t>
      </w:r>
    </w:p>
    <w:p>
      <w:r>
        <w:t>- 11/11 -</w:t>
      </w:r>
    </w:p>
    <w:p>
      <w:r>
        <w:t>C/16249/2021 PAR CES MOTIFS, La Chambre civile : A la forme : Déclare recevable le recours interjeté le 3 janvier 2022 par A______ SA contre le jugement JTPI/15870/2021 rendu le 13 décembre 2021 par le Tribunal de première instance dans la cause C/16249/2021–24 SML. Au fond : Le rejette. Déboute les parties de toutes autres conclusions. Sur les frais : Arrête les frais judiciaires de recours à 750 fr., compensés avec l'avance de frais fournie, acquise à l'Etat de Genève, et les met à la charge de A______ SA. Condamne A______ SA à verser à B______ 1'500 fr. à titre de dépens de recours. Siégeant : Monsieur Laurent RIEBEN, président; Madame Sylvie DROIN, Madame Nathalie LANDRY-BARTHE, juges; Madame Laura SESSA, greffière.</w:t>
      </w:r>
    </w:p>
    <w:p>
      <w:r>
        <w:t>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décembre 2017 consid 3.2).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w:t>
      </w:r>
    </w:p>
    <w:p>
      <w:r>
        <w:t>- 9/11 -</w:t>
      </w:r>
    </w:p>
    <w:p>
      <w:r>
        <w:t>C/16249/2021 rendre vraisemblable le vice de la volonté invoqué (VEUILLET, op. cit., n. 122 ad art. 82 LP; STAEHELIN, in Basler Kommentar, SchKG I, 2ème éd. 2010, n. 97 ad art. 82 LP). A moins qu'elles ne soient corroborées par des pièces qui accréditent la thèse soutenue, les simples allégations d'une partie n'ont à cet égard aucune valeur probante, même au niveau de la vraisemblance (arrêts du Tribunal fédéral 5A_952/2020 du 4 février 2021 consid. 6.3; 5A_773/2020 du 22 décembre 2020 consid. 3.2; 5A_225/2010 du 2 novembre 2010 consid. 3.2 non publié aux ATF 136 III 583; GILLIERON, op. cit., p. 199 n. 786).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