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ACJC/383/2013 vom 17. Dezember 2012</w:t>
      </w:r>
    </w:p>
    <w:p>
      <w:r>
        <w:t>GE Cour de justice, 2012-12-17, FR</w:t>
      </w:r>
    </w:p>
    <w:p>
      <w:r>
        <w:rPr>
          <w:b/>
        </w:rPr>
        <w:t xml:space="preserve">Quelle: </w:t>
      </w:r>
      <w:r>
        <w:t>https://mcp.opencaselaw.ch/entscheid/ge_gerichte_ACJC_383_2013</w:t>
      </w:r>
    </w:p>
    <w:p>
      <w:r>
        <w:t>FR: GE_GERICHTE ACJC/383/2013 du 17 décembre 2012</w:t>
      </w:r>
    </w:p>
    <w:p>
      <w:r>
        <w:t>IT: GE_GERICHTE ACJC/383/2013 del 17 dicembre 2012</w:t>
      </w:r>
    </w:p>
    <w:p>
      <w:pPr>
        <w:pStyle w:val="Heading2"/>
      </w:pPr>
      <w:r>
        <w:t>Erwägungen</w:t>
      </w:r>
    </w:p>
    <w:p>
      <w:r>
        <w:rPr>
          <w:b/>
        </w:rPr>
        <w:t>E. 1.1</w:t>
      </w:r>
    </w:p>
    <w:p>
      <w:r>
        <w:t>La procédure sommaire est applicable aux procédures de mesures provisionnelles en matière de divorce (art. 248 let. d, 271 let. a, 276 al. 1 CPC). La valeur litigieuse est supérieure à 10'000 fr. compte tenu du montant de la contribution d'entretien proposée par l'intimé en première instance (1'200 fr.) et du montant sollicité par l'appelante (2'033 fr. 725 (sic) entre novembre 2011 et octobre 2012, puis 2'927 fr. 40 dès novembre 2012) (soit une différence de respectivement 10'004 fr. 70 durant un an, puis 1'727 fr. 40 depuis novembre 2012 x 12 x 19), de sorte que la voie de l'appel est ouverte (art. 308 al. 1 let. b, 308 al. 2 et 92 al. 2 CPC). Les appels ont été interjetés dans le délai de dix jours (art. 271 par renvoi de l'art. 276, CPC, 142 al. 3 CPC, 314 al. 1 CPC) et suivant la forme prescrite par la loi (art. 130, 131, 311 al. 1 CPC), de sorte qu'ils sont recevables.</w:t>
      </w:r>
    </w:p>
    <w:p>
      <w:r>
        <w:rPr>
          <w:b/>
        </w:rPr>
        <w:t>E. 1.2</w:t>
      </w:r>
    </w:p>
    <w:p>
      <w:r>
        <w:t>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w:t>
      </w:r>
    </w:p>
    <w:p>
      <w:r>
        <w:t>- 6/14 -</w:t>
      </w:r>
    </w:p>
    <w:p>
      <w:r>
        <w:t>C/14704/2012</w:t>
      </w:r>
    </w:p>
    <w:p>
      <w:r>
        <w:rPr>
          <w:b/>
        </w:rPr>
        <w:t>E. 2</w:t>
      </w:r>
    </w:p>
    <w:p>
      <w:r>
        <w:t>Requises après le 1er janvier 2011, les mesures provisoires sont régies par l'art. 276 CPC (art. 404 al. 1 CPC; TAPPY, Le droit transitoire applicable lors de l'introduction de la nouvelle procédure civile unifiée, JdT 2010 III p. 11 ss, p. 14 et 19). La procédure sur mesures provisoires étant de nature sommaire, le degré de preuve est limité à la vraisemblance (arrêt du Tribunal fédéral 5A_124/2008 du 10 avril 2008; ATF 127 III 474 consid. 2b/aa, SJ 2001 I p. 586; LEUENBERGER, Commentaire bâlois, 2006, n. 18 ad art. 137 aCC). Le juge statue sans instruction étendue sur la base des preuves immédiatement disponibles (arrêt du Tribunal fédéral 5P.388/2003 consid. 2.1 = FamPra.ch 2004 p. 409).</w:t>
      </w:r>
    </w:p>
    <w:p>
      <w:r>
        <w:rPr>
          <w:b/>
        </w:rPr>
        <w:t>E. 3</w:t>
      </w:r>
    </w:p>
    <w:p>
      <w:r>
        <w:t>La Cour examine, en principe, d'office la recevabilité des pièces produites en appel (REETZ/HILBER, Kommentar zur Schweizerischen Zivilprozessordnung, 2010, n. 26 zu 317).</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dès lors que la présente cause de droit matrimonial concerne un enfant mineur, les pièces nouvelles produites par l'appelante sont recevables. 4. 4.1 Aux termes de l'art. 276 al. 1 CPC, le tribunal ordonne les mesures provisionnelles nécessaires. Les dispositions régissant la protection de l'union conjugale sont applicables par analogie. La procédure de mesures protectrices de l'union conjugale est une procédure sommaire au sens propre (art. 271 CPC; ATF 127 III474 consid. 2b/bb; arrêts du Tribunal fédéral 5A_340/2008 du 12 août 2008 consid. 3.1; 5A_344/2008 du 28 juillet 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Pendant la litispendance de la procédure de divorce, les mesures ordonnées par le tribunal des mesures protectrices de l'union conjugale sont maintenues. Le tribunal du divorce est compétent pour prononcer leur modification ou leur révocation par des mesures provisionnelles (art. 276 al. 2 CPC). Cette disposition concrétise la jurisprudence du Tribunal fédéral rendue sous l'empire de l'art. 137 al. 2 aCC, laquelle demeure applicable, prévoyant que les mesures protectrices de l'union conjugale prises avant l'ouverture de l'action en divorce restaient en vigueur tant qu'elles n'avaient pas été modifiées par des mesures provisoires (ATF 129 III 60 consid. 2, SJ 2003 I p. 273). Les mesures provisoires ne sont ainsi ordonnées que si elles sont nécessaires, ce qui n'est en principe pas le cas lorsque leur objet a déjà été réglé par le juge des</w:t>
      </w:r>
    </w:p>
    <w:p>
      <w:r>
        <w:t>- 8/14 -</w:t>
      </w:r>
    </w:p>
    <w:p>
      <w:r>
        <w:t>C/14704/2012 mesures protectrices (SUTTER/FREIBURGHAUS, Kommentar zum neuen Scheidungsrecht, 1999, n. 11 et 12 ad art. 137 aZGB). Ainsi, une nouvelle décision du juge des mesures provisoires d'un contenu différent est admissible si, depuis le prononcé des mesures protectrices, les circonstances de fait se sont modifiées de façon substantielle et durable ou que le juge a ignoré des éléments essentiels ou a mal apprécié les circonstances (arrêts du Tribunal fédéral 5A_183/2010 consid. 3.3.1 et 5A_667/2007 consid. 3.3; LEUENBERGER Praxiskommentar Scheidungsrecht, 2005, n. 8 et 16 ad art. 137 aZGB). Dans tous les cas, la requête en modification ne peut conduire qu'à une adaptation aux circonstances nouvelles, mais non à une nouvelle fixation des mesures (arrêts du Tribunal fédéral 5A_402/2010 consid. 4.2.2, in FamPra.ch 2010 p. 890 et 5A_205/2010 consid. 4.2.2, in FamPra.ch 2010 p. 894). 4.2 En l'espèce, la situation financière des parties s'est sensiblement modifiée et les décisions sur mesures protectrices de l'union conjugale n'ont pas pris en compte les impôts réglés par les époux, de sorte que le premier juge est à bon droit entré en matière sur la demande de mesures provisionnelles.</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in SJ 2013 I 94;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 Bernasconi [éd.], 2011, p. 1394; TAPPY, Les voies de droit du nouveau Code de procédure civile, in JdT 2010 III p. 115 ss, 139).</w:t>
      </w:r>
    </w:p>
    <w:p>
      <w:r>
        <w:t>- 7/14 -</w:t>
      </w:r>
    </w:p>
    <w:p>
      <w:r>
        <w:t>C/14704/2012</w:t>
      </w:r>
    </w:p>
    <w:p>
      <w:r>
        <w:rPr>
          <w:b/>
        </w:rPr>
        <w:t>E. 5.1</w:t>
      </w:r>
    </w:p>
    <w:p>
      <w:r>
        <w:t>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(ATF 137 III 385 consid. 3.1). Dès lors, lorsqu'il prononce les mesures provisionnelles, le juge fixe une contribution globale pour l'entretien de la famille, comprenant les besoins des enfants et du parent crédirentier (arrêt du Tribunal fédéral 5P.253/2006 du</w:t>
      </w:r>
    </w:p>
    <w:p>
      <w:r>
        <w:rPr>
          <w:b/>
        </w:rPr>
        <w:t>E. 5.2</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w:t>
      </w:r>
    </w:p>
    <w:p>
      <w:r>
        <w:rPr>
          <w:b/>
        </w:rPr>
        <w:t>E. 5.3</w:t>
      </w:r>
    </w:p>
    <w:p>
      <w:r>
        <w:t>Selon l'art. 8 al. 2 de la loi sur les allocations familiales (J.5.10), révisée au 1er janvier 2012, celles-ci s'élèvent à 300 fr. par mois pour l'enfant jusqu'à 16 ans et à 400 fr. par mois pour l'enfant de 16 à 20 ans. Les allocations familiales doivent être retranchées du coût de l'enfant (arrêt du Tribunal fédéral 5C.127/2003 du 15 octobre 2003 consid. 4.1.2).</w:t>
      </w:r>
    </w:p>
    <w:p>
      <w:r>
        <w:rPr>
          <w:b/>
        </w:rPr>
        <w:t>E. 5.4</w:t>
      </w:r>
    </w:p>
    <w:p>
      <w:r>
        <w:t>Lorsqu'il s'agit de fixer la contribution à l'entretien durant les mesures protectrices de l'union conjugale ou les mesures provisoires de l'art. 137 aCC, le Tribunal fédéral a jugé qu'il convient de prendre en considération que le conjoint vit en communauté avec une autre personne et que, dans ces circonstances, il n'est pas arbitraire de considérer que son compagnon pourrait participer pour moitié</w:t>
      </w:r>
    </w:p>
    <w:p>
      <w:r>
        <w:t>- 10/14 -</w:t>
      </w:r>
    </w:p>
    <w:p>
      <w:r>
        <w:t>C/14704/2012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(arrêts du Tribunal fédéral 5A_625/2007 du 26 mars 2008 consid. 2.3; 5P.463/2003 du 20 février 2004 consid. 3.2; 5P.90/2002 du 1er juillet 2002 consid. 2b/aa, publié in : FamPra 2002 p. 813).</w:t>
      </w:r>
    </w:p>
    <w:p>
      <w:r>
        <w:rPr>
          <w:b/>
        </w:rPr>
        <w:t>E. 5.5</w:t>
      </w:r>
    </w:p>
    <w:p>
      <w:r>
        <w:t>Les titres font partie des moyens de preuve admis par la loi (art. 168 al. 1 let. b CPC). Les déclarations écrites d'un témoin potentiel ont une force probante restreinte.</w:t>
      </w:r>
    </w:p>
    <w:p>
      <w:r>
        <w:rPr>
          <w:b/>
        </w:rPr>
        <w:t>E. 5.6</w:t>
      </w:r>
    </w:p>
    <w:p>
      <w:r>
        <w:t>Dans le cas d'espèce, le premier juge a appliqué la méthode dite du minimum vital, avec répartition de l'excédent, laquelle n'est pas remise en cause par les parties. Il reste donc à déterminer les revenus et charges des parties. L'appelante perçoit des indemnités journalière de l'assurance perte de gain de 3'080 fr. nets par mois. L'appelante soutient qu'elle ne fait pas ménage commun avec son compagnon et qu'elle ne retire aucun avantage financier de cette relation. La Cour relève, comme le premier juge, que le compagnon de l'appelante était inscrit à la même adresse que cette dernière jusqu'au mois de juillet 2012. Son nom figure (gravé) sur la boîte aux lettres de l'appelante. Les attestations versées à la procédure par l'appelante constituent des déclarations écrites de témoins potentiels et n'ont pas la qualité de titres. Au surplus, ces attestations ne sont pas convaincantes. De plus, la nouvelle domiciliation du compagnon de l'appelante dans le canton du Valais ne permet pas de retenir qu'il y résiderait. Dès lors, au stade de la vraisemblance, il y a lieu de retenir que l'appelante fait ménage commun avec son compagnon. Au titre des charges sont donc retenues la moitié du loyer de l'appartement de 860 fr., les primes d'assurance-maladie pour elle-même de 345 fr. et de 50 fr. pour l'enfant (moitié de la prime), les frais de transports publics de 70 fr. et les impôts de 85 fr., ainsi que les minima vitaux du droit des poursuites, soit 850 fr. (1'700 fr. / 2) pour elle-même et 300 fr. pour l'enfant (la moitié du montant de base OP), sous déduction de 150 fr. d'allocations familiales, soit au total 2'410 fr. Dès lors que les parents exercent une garde partagée sur l'enfant, il ne se justifie pas d'attribuer une part du loyer de l'appartement aux charges de l'enfant. Les frais médicaux et les frais de recherches d'emploi ne sont pas documentés. En particulier, l'appelante n'a pas démontré s'acquitter de frais médicaux. Elle n'a également pas rendu vraisemblable qu'elle rechercherait activement un emploi, ni</w:t>
      </w:r>
    </w:p>
    <w:p>
      <w:r>
        <w:t>- 11/14 -</w:t>
      </w:r>
    </w:p>
    <w:p>
      <w:r>
        <w:t>C/14704/2012 n'a produit de documents à l'appui de cette allégation. Ces frais ne sont dès lors pas pris en considération. Quant à l'intimé, son revenu mensuel net s'élève à 7'360 fr. Ses charges, totalisant 5'312 fr., comprennent le loyer de 2'240 fr., les primes LAMal de 290 fr. pour lui- même et de 50 fr. pour l'enfant, les frais de transport de 70 fr., les impôts de 1'162 fr., ainsi que les montants de base OP pour lui-même de 1'350 fr. et de 300 fr. pour l'enfant, sous déduction de 150 fr. d'allocations familiales. Au stade des présentes mesures provisionnelles, et au vu de sa situation financière favorable, il se justifie de retenir les impôts que l'intimé doit verser, lesquels sont établis par pièces, de 1'162 fr. par mois (impôts cantonaux, communaux et fédéraux). Ainsi, les revenus des parties sont de 10'440 fr. et leurs charges de 7'722 fr. Les parties exerçant une garde alternée, il se justifie de répartir le solde disponible de 2'718 fr. par moitié. Ainsi, après couverture de ses charges et de la moitié de l'excédent, sous déduction de ses ressources, l'appelante peut prétendre à une contribution d'entretien de 700 fr. par mois (689 fr. arrondis). Le jugement entrepris sera en conséquence modifié et l'intimé condamné à verser, avec effet au 1er août 2012, date retenue par le premier juge et non contestée par les parties, une contribution à l'entretien de la famille de 700 fr. par mois et d'avance. Les parties seront également condamnées à prendre en charge chaque mois les charges incompressibles de l'enfant, telles qu'arrêtées ci-avant. 6.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1'000 fr. (art. 28, 31 et 37 du Règlement fixant le tarif des greffes en matière civile, RTFMC - E 1 05.10). Vu l'issue du litige et la qualité des parties, ils seront mis à charge des parties pour moitié chacune. L'appelante bénéficiant de l'assistance juridique, elle a été dispensée de verser l'avance de frais. Ces frais restent provisoirement à la charge de l'Etat (art. 122 al. 1 let. b, 123 CPC et 19 RAJ). L'intimé a quant à lui versé 500 fr., acquis à l'Etat par compensation (art. 111 CPC). Pour le surplus, chaque partie assumera ses propres dépens (art. 105 CPC). 7. S'agissant de mesures provisionnelles, la voie du recours en matière civile au Tribunal fédéral est ouverte (art. 72 al. 1 LTF). Dans le cas d'un recours formé</w:t>
      </w:r>
    </w:p>
    <w:p>
      <w:r>
        <w:t>- 12/14 -</w:t>
      </w:r>
    </w:p>
    <w:p>
      <w:r>
        <w:t>C/14704/2012 contre une décision portant sur des mesures provisionnelles, seule peut être invoquée la violation de droits constitutionnels (art. 98 LTF). * * * * *</w:t>
      </w:r>
    </w:p>
    <w:p>
      <w:r>
        <w:t>- 13/14 -</w:t>
      </w:r>
    </w:p>
    <w:p>
      <w:r>
        <w:t>C/14704/2012 PAR CES MOTIFS, La Chambre civile : A la forme : Déclare recevables les appels interjetés par A______ et B______ contre le jugement JTPI/18574/2012 rendu le 17 décembre 2012 par le Tribunal de première instance dans la cause C/14704/2012-3. Au fond : Annule le ch. 1 de ce jugement. Cela fait et statuant à nouveau : Condamne B______ à verser, par mois et d'avance, allocations familiales non comprises, la somme de 700 fr. par mois à A______, avec effet au 1er août 2012, sous imputation de tous les montants versés à ce titre. Condamne B______ et A______ à prendre en charge chaque mois les charges incompressibles de l'enfant. Déboute les parties de toutes autres conclusions. Sur les frais d'appel : Arrête les frais judiciaires à 1'000 fr. et les met à charge de A______ et B______ pour moitié chacun. Laisse provisoirement les frais de A______ à la charge de l'Etat. Dit que l'avance de frais de 500 fr. fournie par B______ est acquise à l'Etat. Dit que chacune des parties conserve à sa charge ses dépens. Déboute les parties de toutes autres conclusions. Siégeant : Madame Valérie LAEMMEL-JUILLARD, présidente; Monsieur Pierre CURTIN et Madame Nathalie LANDRY-BARTHE, juges; Madame Barbara SPECKER, greffière.</w:t>
      </w:r>
    </w:p>
    <w:p>
      <w:r>
        <w:t>La présidente : Valérie LAEMMEL-JUILLARD</w:t>
      </w:r>
    </w:p>
    <w:p>
      <w:r>
        <w:t>La greffière : Barbara SPECKER</w:t>
      </w:r>
    </w:p>
    <w:p>
      <w:r>
        <w:t>- 14/14 -</w:t>
      </w:r>
    </w:p>
    <w:p>
      <w:r>
        <w:t>C/14704/2012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 a priori supérieure à 30'000 fr. cf. consid. 1.1</w:t>
      </w:r>
    </w:p>
    <w:p>
      <w:r>
        <w:rPr>
          <w:b/>
        </w:rPr>
        <w:t>E. 8</w:t>
      </w:r>
    </w:p>
    <w:p>
      <w:r>
        <w:t>janvier 2007, consid. 3.4; CHAIX, op. cit., n. 6 ad art. 176 CC). La loi ne prescrit pas de méthode de calcul particulière pour arrêter la contribution d'entretien (arrêt du Tribunal fédéral 5A_178/2008 du 23 avril 2008 , consid. 3.2.;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w:t>
      </w:r>
    </w:p>
    <w:p>
      <w:r>
        <w:t>- 9/14 -</w:t>
      </w:r>
    </w:p>
    <w:p>
      <w:r>
        <w:t>C/14704/2012 débirentier doit en principe être préservé (ATF 135 III 66 consid. 10). Le train de vie mené jusqu'à la cessation de la vie commune constitue la limite supérieure du droit à l'entretien (ATF 121 I 97 consid. 3b).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 JdT 1990 I 258), l’excédent doit en principe être réparti par moitié entre eux, sans que cette répartition n’anticipe sur la liquidation du régime matrimonial des conjoints (ATF 126 III 8 consid. 3c; 121 I 97; JdT 1997 I 46 ;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du Tribunal fédéral 5C.23/2002 du 21 juin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