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ACJC/382/2026 vom 2. März 2026</w:t>
      </w:r>
    </w:p>
    <w:p>
      <w:r>
        <w:t>GE Cour de justice, 2026-03-02, FR</w:t>
      </w:r>
    </w:p>
    <w:p>
      <w:r>
        <w:rPr>
          <w:b/>
        </w:rPr>
        <w:t xml:space="preserve">Quelle: </w:t>
      </w:r>
      <w:r>
        <w:t>https://mcp.opencaselaw.ch/entscheid/ge_gerichte_ACJC_382_2026</w:t>
      </w:r>
    </w:p>
    <w:p>
      <w:r>
        <w:t>FR: GE_GERICHTE ACJC/382/2026 du 2 mars 2026</w:t>
      </w:r>
    </w:p>
    <w:p>
      <w:r>
        <w:t>IT: GE_GERICHTE ACJC/382/2026 del 2 marzo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w:t>
      </w:r>
    </w:p>
    <w:p>
      <w:r>
        <w:t>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w:t>
      </w:r>
    </w:p>
    <w:p>
      <w:r>
        <w:t>Le débiteur doit en outre être autorisé à invoquer de vrais nova et à produire, dans le délai de recours (ATF 139 III 491 consid. 4.4; 136 III 294 consid. 3), des pièces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 la déclaration de faillite, et à rendre vraisemblable sa solvabilité (art. 174 al. 2 LP).</w:t>
      </w:r>
    </w:p>
    <w:p>
      <w:r>
        <w:t>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w:t>
      </w:r>
    </w:p>
    <w:p>
      <w:r>
        <w:t>- 4/6 -</w:t>
      </w:r>
    </w:p>
    <w:p>
      <w:r>
        <w:t>C/21523/2025</w:t>
      </w:r>
    </w:p>
    <w:p>
      <w:r>
        <w:t>En l'espèce, les pièces déposées par la recourante dans le délai de recours sont recevables.</w:t>
      </w:r>
    </w:p>
    <w:p>
      <w:r>
        <w:rPr>
          <w:b/>
        </w:rPr>
        <w:t>E. 2</w:t>
      </w:r>
    </w:p>
    <w:p>
      <w:r>
        <w:t>La recourante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du Tribunal fédéral 5A_183/2024 du 10 mai 2024 consid. 3.2 et les références; 5A_83/2024 du 13 mars 2024, consid. 4.1 et les références).</w:t>
      </w:r>
    </w:p>
    <w:p>
      <w:r>
        <w:t>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arrêts du Tribunal fédéral 5A_191/2024 du 14 août 2024 consid. 3.1; 5A_845/2023 du 17 avril 2024 consid. 2; 5A_949/2023 du 7 février 2024 consid. 3.1.2; 5A_891/2021 du 28 janvier 2022 consid. 6.1.2).</w:t>
      </w:r>
    </w:p>
    <w:p>
      <w:r>
        <w:t>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w:t>
      </w:r>
    </w:p>
    <w:p>
      <w:r>
        <w:t>- 5/6 -</w:t>
      </w:r>
    </w:p>
    <w:p>
      <w:r>
        <w:t>C/21523/2025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arrêts du Tribunal fédéral 5A_191/2024 précité loc. cit.; 5A_845/2023 précité loc. cit.; 5A_891/2021 précité loc. cit.; 5A_1040/2021 du 24 janvier 2022 consid. 3.1.2; GIROUD/THEU SIMONI, in Basler Kommentar, SchKG II, 3ème éd. 2021, n° 26b ad art. 174 LP).</w:t>
      </w:r>
    </w:p>
    <w:p>
      <w:r>
        <w:rPr>
          <w:b/>
        </w:rPr>
        <w:t>E. 2.2</w:t>
      </w:r>
    </w:p>
    <w:p>
      <w:r>
        <w:t>En l’espèce, il est établi que la dette faisant l'objet de la poursuite intentée par l'intimé a été acquittée, en capital, intérêts et frais. Les frais judiciaires de première et de seconde instances ont été réglés. La première condition posée par l'art. 174 al. 2 LP est ainsi réalisée.</w:t>
      </w:r>
    </w:p>
    <w:p>
      <w:r>
        <w:t>Pour le surplus, les montants que la recourante devrait encaisser prochainement, en paiement des factures récentes qu’elle a produites, devraient lui permettre de régler les poursuites en cours, tout en conservant des liquidités. Certes, le bilan 2025 laisse apparaître une perte, mais de peu d’importance et la situation financière de la société apparaît sensiblement meilleure qu’à la fin de l’année précédente. Les explications fournies par la recourante sur les raisons qui ont conduit à ses difficultés de paiement sont vraisemblables, notamment au regard de la progression du résultat qui permet de retenir que les investissements consentis ont été bénéfiques, et conduisent la Cour à admettre que l’amélioration probable de sa situation financière va se poursuivre.</w:t>
      </w:r>
    </w:p>
    <w:p>
      <w:r>
        <w:t>Le chiffre 1 du dispositif du jugement querellé sera donc annulé et la requête de faillite de l’intimé rejetée.</w:t>
      </w:r>
    </w:p>
    <w:p>
      <w:r>
        <w:rPr>
          <w:b/>
        </w:rPr>
        <w:t>E. 3</w:t>
      </w:r>
    </w:p>
    <w:p>
      <w:r>
        <w:t>Le paiement de la dette étant intervenu postérieurement au prononcé de la faillite, la décision du premier juge de mettre les frais judiciaires de première instance, arrêtés à 200 fr., à la charge de la recourante sera confirmée.</w:t>
      </w:r>
    </w:p>
    <w:p>
      <w:r>
        <w:t>Pour le même motif, les frais du recours, arrêtés à 220 fr., seront mis à la charge de la recourante et compensés à due concurrence avec l'avance fournie par celle- ci, laquelle reste acquise à l'Etat de Genève (art. 111 al. 1 CPC).</w:t>
      </w:r>
    </w:p>
    <w:p>
      <w:r>
        <w:t>Il ne sera pas alloué de dépens à l’intimé qui ne s’est pas déterminée. * * * * *</w:t>
      </w:r>
    </w:p>
    <w:p>
      <w:r>
        <w:t>- 6/6 -</w:t>
      </w:r>
    </w:p>
    <w:p>
      <w:r>
        <w:t>C/21523/2025 PAR CES MOTIFS, La Chambre civile : A la forme : Déclare recevable le recours interjeté le 26 novembre 2025 par A______ SARL contre le jugement JTPI/15642/2025 rendu le 18 novembre 2025 par le Tribunal de première instance dans la cause C/21523/2025–5 SFC. Au fond : Annule le chiffre 1 du dispositif de ce jugement. Rejette la requête de faillite déposée le 27 août 2025 par ETAT DE GENEVE DF- DGFE, SERVICE DU RECOUVREMENT TRANSVERSAL. Confirme le jugement pour le surplus. Sur les frais : Arrête les frais du recours à 220 fr., les met à la charge de A______ SÀRL, et dit qu’ils sont compensés avec l’avance opérée, acquise à l’Etat de Genève. Dit qu’il n’est pas alloué de dépens de recours. Siégeant : Madame Pauline ERARD, présidente; Madame Sylvie DROIN, Madame Nathalie LANDRY,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