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ACJC/37/2016 vom 18. Januar 2016</w:t>
      </w:r>
    </w:p>
    <w:p>
      <w:r>
        <w:t>GE Cour de justice, 2016-01-18, FR</w:t>
      </w:r>
    </w:p>
    <w:p>
      <w:r>
        <w:rPr>
          <w:b/>
        </w:rPr>
        <w:t xml:space="preserve">Quelle: </w:t>
      </w:r>
      <w:r>
        <w:t>https://mcp.opencaselaw.ch/entscheid/ge_gerichte_ACJC_37_2016</w:t>
      </w:r>
    </w:p>
    <w:p>
      <w:r>
        <w:t>FR: GE_GERICHTE ACJC/37/2016 du 18 janvier 2016</w:t>
      </w:r>
    </w:p>
    <w:p>
      <w:r>
        <w:t>IT: GE_GERICHTE ACJC/37/2016 del 18 gennaio 2016</w:t>
      </w:r>
    </w:p>
    <w:p>
      <w:pPr>
        <w:pStyle w:val="Heading2"/>
      </w:pPr>
      <w:r>
        <w:t>Regeste</w:t>
      </w:r>
    </w:p>
    <w:p>
      <w:r>
        <w:t>Résumé: CONGÉS DONNÉS POUR l'ÉCHÉANCE Les congés visés par l'art. 271a al. 3 CO sont généralement donnés de manière anticipée, mais peuvent aussi l'être pour l'échéance. Si le bailleur donne le congé ordinaire, les conditions des art. 257d al. 2, 257f al. 3 et 4, 266j ou 266h CO doivent être réunies. Dans ce cas de figure, le bailleur doit prouver que les conditions de validité du congé extraordinaire sont remplies.</w:t>
      </w:r>
    </w:p>
    <w:p>
      <w:pPr>
        <w:pStyle w:val="Heading2"/>
      </w:pPr>
      <w:r>
        <w:t>Volltext</w:t>
      </w:r>
    </w:p>
    <w:p>
      <w:r>
        <w:t>Résumé: CONGÉS DONNÉS POUR l'ÉCHÉANCE Les congés visés par l'art. 271a al. 3 CO sont généralement donnés de manière anticipée, mais peuvent aussi l'être pour l'échéance. Si le bailleur donne le congé ordinaire, les conditions des art. 257d al. 2, 257f al. 3 et 4, 266j ou 266h CO doivent être réunies. Dans ce cas de figure, le bailleur doit prouver que les conditions de validité du congé extraordinaire sont remplies.</w:t>
      </w:r>
    </w:p>
    <w:p>
      <w:r>
        <w:t>Descripteurs: Descripteurs: BAIL À LOYER ; RÉSILIATION ; CONTESTATION DU CONGÉ ; PROTECTION CONTRE LES CONGÉS ; RÉSILIATION ABUSIVE ; RÉSILIATION ANTICIPÉE</w:t>
      </w:r>
    </w:p>
    <w:p>
      <w:r>
        <w:t>Normes: Normes: CO.271a.al.3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