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ACJC/379/2019 vom 28. Februar 2019</w:t>
      </w:r>
    </w:p>
    <w:p>
      <w:r>
        <w:t>GE Cour de justice, 2019-02-28, FR</w:t>
      </w:r>
    </w:p>
    <w:p>
      <w:r>
        <w:rPr>
          <w:b/>
        </w:rPr>
        <w:t xml:space="preserve">Quelle: </w:t>
      </w:r>
      <w:r>
        <w:t>https://mcp.opencaselaw.ch/entscheid/ge_gerichte_ACJC_379_2019</w:t>
      </w:r>
    </w:p>
    <w:p>
      <w:r>
        <w:t>FR: GE_GERICHTE ACJC/379/2019 du 28 février 2019</w:t>
      </w:r>
    </w:p>
    <w:p>
      <w:r>
        <w:t>IT: GE_GERICHTE ACJC/379/2019 del 28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 été fixé en dernier lieu à 8'628 fr. par an, charges non comprises. La valeur litigieuse est ainsi supérieure à 10'000 fr., de sorte que la voie de l'appel est ouverte.</w:t>
      </w:r>
    </w:p>
    <w:p>
      <w:r>
        <w:rPr>
          <w:b/>
        </w:rPr>
        <w:t>E. 1.2</w:t>
      </w:r>
    </w:p>
    <w:p>
      <w:r>
        <w:t>Interjeté dans le délai et la forme prescrits, l'appel est recevable (art. 130, 131 et 311 al. 1 CPC).</w:t>
      </w:r>
    </w:p>
    <w:p>
      <w:r>
        <w:rPr>
          <w:b/>
        </w:rPr>
        <w:t>E. 1.3</w:t>
      </w:r>
    </w:p>
    <w:p>
      <w:r>
        <w:t>La Cour revoit la cause avec un plein pouvoir d'examen en fait et en droit (art. 310 CPC; HOHL, Procédure civile, Tome II, 2010, n. 2314 et 2416).</w:t>
      </w:r>
    </w:p>
    <w:p>
      <w:r>
        <w:rPr>
          <w:b/>
        </w:rPr>
        <w:t>E. 1.4</w:t>
      </w:r>
    </w:p>
    <w:p>
      <w:r>
        <w:t>Dans la mesure où l'instance d'appel assure la continuation du procès de première instance, elle doit user du même type de procédure et des mêmes maximes que celles applicables devant la juridiction précédente (JEANDIN,</w:t>
      </w:r>
    </w:p>
    <w:p>
      <w:r>
        <w:t>- 9/12 -</w:t>
      </w:r>
    </w:p>
    <w:p>
      <w:r>
        <w:t>C/15167/2017 Commentaires romand, Code de procédure civile, 2ème éd. 2019, n. 6 ad art. 316 CPC). En l'espèce, la procédure simplifiée s'applique (art. 243 al. 2 let. c CPC) s'agissant d'une procédure relative à la protection contre les congés et la maxime inquisitoire sociale régit la procédure (art. 247 al. 2 let. a CPC).</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En l'espèce, la nouvelle pièce produite par l'appelante est recevable dans la mesure où elle a été établie après que la cause a été gardée à juger par le Tribunal. Cette pièce n'est cependant pas déterminante pour la solution du litige.</w:t>
      </w:r>
    </w:p>
    <w:p>
      <w:r>
        <w:rPr>
          <w:b/>
        </w:rPr>
        <w:t>E. 3</w:t>
      </w:r>
    </w:p>
    <w:p>
      <w:r>
        <w:t>L'appelante fait grief au Tribunal d'avoir considéré que toutes les conditions de l'art. 257f al. 3 CO étaient réunies et d'avoir ainsi considéré que le congé du 22 juin 2017 était efficace. L'appelante "fait siens les faits retenus par le Tribunal". Elle lui reproche uniquement d'avoir considéré qu'elle avait persisté à ne pas respecter son devoir en relation avec le manquement évoqué par la bailleresse dans sa protestation. Les faits rapportés par H______ à la régie le 17 juin 2017 n'étaient pas établis, puisqu'ils n'avaient pas été confirmés par d'autres témoins. En outre, une seule plainte était parvenue à la régie après la mise en demeure du 28 février 2017 et non pas de "nouvelles plaintes" comme indiqué dans la lettre accompagnant l'avis de résiliation du 22 juin 2017. Enfin, la mise en demeure du 28 février 2017 n'énonçait pas des faits précis reprochés à la locataire.</w:t>
      </w:r>
    </w:p>
    <w:p>
      <w:r>
        <w:rPr>
          <w:b/>
        </w:rPr>
        <w:t>E. 3.1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violation du devoir de diligence peut consister, notamment, dans le non-respect du repos nocturne, qui porte atteinte à la tranquillité des autres locataires; les excès de bruit constituent d'ailleurs des motifs typiques de ce congé extraordinaire (ATF 136 III 65 consid. 2.5; arrêt du Tribunal fédéral 4A_2/2017 du</w:t>
      </w:r>
    </w:p>
    <w:p>
      <w:r>
        <w:rPr>
          <w:b/>
        </w:rPr>
        <w:t>E. 3.2</w:t>
      </w:r>
    </w:p>
    <w:p>
      <w:r>
        <w:t>En l'espèce, l'appelante ne conteste pas, à juste titre, avoir violé son devoir de diligence et avoir manqué d'égards envers ses voisins. En effet, quatre occupants successifs de l'appartement situé en dessus de celui de la locataire se sont plaints, à partir de l'année 2000, du comportement de l'appelante, qui, immédiatement dès l'entrée d'un nouveau locataire et fréquemment par la suite se plaignait du moindre bruit et exprimait des exigences inadaptées. Par ailleurs, la locataire causait des nuisances sonores, en hurlant et criant, en claquant les portes et en donnant des coups sur les tuyaux de chauffage et contre les murs en réaction au bruit du quotidien de l'immeuble. Enfin, elle insultait régulièrement ses voisins. Par son comportement, l'appelante a instauré depuis des années un climat difficilement supportable dans l'immeuble.</w:t>
      </w:r>
    </w:p>
    <w:p>
      <w:r>
        <w:t>Par courriers des 1er et 28 février 2017, la bailleresse a mis en demeure la locataire de cesser d'incommoder les autres occupants de l'immeuble par son comportement et par le bruit fréquent provenant de son appartement. Elle était mise en demeure de tout mettre en œuvre afin d'éviter de troubler la tranquillité du voisinage, et ce, sous menace de résiliation en application de l'art. 257f al. 3 CO. Contrairement à ce que semble soutenir l'appelante, les avertissements étaient suffisamment précis,</w:t>
      </w:r>
    </w:p>
    <w:p>
      <w:r>
        <w:t>- 11/12 -</w:t>
      </w:r>
    </w:p>
    <w:p>
      <w:r>
        <w:t>C/15167/2017 compte tenu des précédents échanges de correspondance, pour qu'elle puisse rectifier son comportement. Après les mises en demeure précitées, la locataire a persisté à manquer de respect à l'égard de ses voisins, en particulier à l'égard de H______. Aucun élément du dossier ne permet de mettre en doute le témoignage de cette dernière, même si elle est personnellement impliquée dans le conflit. Le 4 juin 2017, la locataire a à nouveau crié, tapé sur les murs et insulté la précitée. De plus, le 16 juin 2017, elle l'a à nouveau insultée dans la rue à un tel point que le témoin a dû se réfugier dans le salon de coiffure du rez-de-chaussée de l'immeuble. L'appelante a ensuite tenté de pousser la porte dudit salon, en faisant des mouvements avec un bâton, amenant les personnes présentes à appeler la police, qui est intervenue. Ainsi, contrairement à ce que soutient l'appelante, les perturbations se sont poursuivies malgré les mises en demeure. Les protestations du bailleur n'ont pas eu les effets escomptés, puisque la locataire a continué à manquer d'égards envers une voisine. La condition de la persistance de la locataire à ne pas respecter son devoir en relation avec le manquement évoqué par le bailleur dans sa protestation est ainsi réalisée. Les situations conflictuelles entre l'appelante et son voisinage ont débuté en 2000 et ne se sont pas apaisées par la suite. Au moins deux occupants de l'appartement situé en dessus de celui de la locataire l'ont quitté en raison du comportement de celle-ci. Il résulte des témoignages recueillis par le Tribunal que cette dernière a pris comme habitude de se plaindre auprès de l'occupant du logement précité, dès l'entrée de celui-ci dans le logement, du moindre bruit ou de toute autre insatisfaction ressentie. Le maintien du contrat était ainsi devenu insupportable pour l'intimée. Au vu de ce qui précède, c'est à bon droit que le Tribunal a considéré que toutes les conditions de l'art. 257f al. 3 CO, et en particulier celles de la persistance de la locataire à ne pas respecter son devoir en relation avec le manquement évoqué dans la mise en demeure, étaient réalisées. Le jugement attaqué sera donc entièrement confirmé, étant relevé que l'appelante ne formule aucun grief à l'encontre du prononcé de son évacuation immédiate.</w:t>
      </w:r>
    </w:p>
    <w:p>
      <w:r>
        <w:rPr>
          <w:b/>
        </w:rPr>
        <w:t>E. 4</w:t>
      </w:r>
    </w:p>
    <w:p>
      <w:r>
        <w:t>A teneur de l'art. 22 al. 1 LaCC, il n'est pas prélevé de frais ni alloué des dépens dans les causes soumises à la juridiction des baux et loyers. * * * * *</w:t>
      </w:r>
    </w:p>
    <w:p>
      <w:r>
        <w:t>- 12/12 -</w:t>
      </w:r>
    </w:p>
    <w:p>
      <w:r>
        <w:t>C/15167/2017 PAR CES MOTIFS, La Chambre des baux et loyers : A la forme : Déclare recevable l'appel interjeté le 4 octobre 2018 par A______ contre le jugement JTBL/774/2018 rendu le 28 août 2018 par le Tribunal des baux et loyers dans la cause C/15167/2017. Au fond : Confirme le jugement attaqué. Dit que la procédure est gratuite. Déboute les parties de toutes autres conclusions. Siégeant : Monsieur Ivo BUETTI, président; Madame Fabienne GEISINGER-MARIETHOZ et Madame Eleanor McGREGOR, juges; Monsieur Alain MAUNOIR et Monsieur Nicolas DAUDIN,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