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ACJC/378/2009 vom 8. September 2008</w:t>
      </w:r>
    </w:p>
    <w:p>
      <w:r>
        <w:t>GE Cour de justice, 2008-09-08, FR</w:t>
      </w:r>
    </w:p>
    <w:p>
      <w:r>
        <w:rPr>
          <w:b/>
        </w:rPr>
        <w:t xml:space="preserve">Quelle: </w:t>
      </w:r>
      <w:r>
        <w:t>https://mcp.opencaselaw.ch/entscheid/ge_gerichte_ACJC_378_2009</w:t>
      </w:r>
    </w:p>
    <w:p>
      <w:r>
        <w:t>FR: GE_GERICHTE ACJC/378/2009 du 8 septembre 2008</w:t>
      </w:r>
    </w:p>
    <w:p>
      <w:r>
        <w:t>IT: GE_GERICHTE ACJC/378/2009 del 8 settembre 2008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L'appelante obtient ainsi gain de cause sur le plein de ses conclusions, à l'exception de sa créance d'un montant de 450'000 fr. pour laquelle elle a renoncé à faire appel. L'intimée, qui succombe pour l'essentiel, sera dès lors condamnée aux dépens de première et de seconde instance, lesquels comprendront une indemnité de procédure à titre de participation aux honoraires d'avocat de sa partie adverse (art. 176 al. 1, 181 et 313 LPC).</w:t>
      </w:r>
    </w:p>
    <w:p>
      <w:r>
        <w:t>Compte tenu du travail fourni par l'avocat et de la valeur litigieuse, l'indemnité de procédure sera fixée à 25'000 fr. pour les deux instances.</w:t>
      </w:r>
    </w:p>
    <w:p>
      <w:r>
        <w:t>- 9/10 -</w:t>
      </w:r>
    </w:p>
    <w:p>
      <w:r>
        <w:t>C/30598/2006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