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ACJC/377/2016 vom 17. November 2015</w:t>
      </w:r>
    </w:p>
    <w:p>
      <w:r>
        <w:t>GE Cour de justice, 2015-11-17, FR</w:t>
      </w:r>
    </w:p>
    <w:p>
      <w:r>
        <w:rPr>
          <w:b/>
        </w:rPr>
        <w:t xml:space="preserve">Quelle: </w:t>
      </w:r>
      <w:r>
        <w:t>https://mcp.opencaselaw.ch/entscheid/ge_gerichte_ACJC_377_2016</w:t>
      </w:r>
    </w:p>
    <w:p>
      <w:r>
        <w:t>FR: GE_GERICHTE ACJC/377/2016 du 17 novembre 2015</w:t>
      </w:r>
    </w:p>
    <w:p>
      <w:r>
        <w:t>IT: GE_GERICHTE ACJC/377/2016 del 17 novembre 2015</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w:t>
      </w:r>
    </w:p>
    <w:p>
      <w:r>
        <w:t>Le recours, interjeté dans le délai et selon la forme prévus par la loi,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t>- 4/6 -</w:t>
      </w:r>
    </w:p>
    <w:p>
      <w:r>
        <w:t>C/15740/2015</w:t>
      </w:r>
    </w:p>
    <w:p>
      <w:r>
        <w:rPr>
          <w:b/>
        </w:rPr>
        <w:t>E. 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Les allégués nouveaux et les pièces nouvelles des parties ne sont donc pas recevables.</w:t>
      </w:r>
    </w:p>
    <w:p>
      <w:r>
        <w:rPr>
          <w:b/>
        </w:rPr>
        <w:t>E. 4</w:t>
      </w:r>
    </w:p>
    <w:p>
      <w:r>
        <w:t>Le recourant reproche au Tribunal d'avoir retenu que ses prétentions étaient prescrites lorsqu'il a requis la poursuite notifiée à l'intimé en mai 2015. Il se prévaut de ce que la sommation datée du 9 septembre 2010 représenterait un acte, au sens de l'art. 170 al. 3 let. a de la loi cantonale vaudoise sur les impôts directs cantonaux (LI; RSC vaudois 642.11) faisant courir un nouveau délai de prescription.</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Sont assimilés à des jugements les décisions des autorités administratives suisses (art. 80 al. 2 ch. 2 LP).</w:t>
      </w:r>
    </w:p>
    <w:p>
      <w:r>
        <w:t>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w:t>
      </w:r>
    </w:p>
    <w:p>
      <w:r>
        <w:rPr>
          <w:b/>
        </w:rPr>
        <w:t>E. 4.2</w:t>
      </w:r>
    </w:p>
    <w:p>
      <w:r>
        <w:t>La prescription des créances fiscales est réglée par le droit en vigueur pendant la période fiscale en cause (arrêts du Tribunal fédéral 2C_416/2013 du</w:t>
      </w:r>
    </w:p>
    <w:p>
      <w:r>
        <w:rPr>
          <w:b/>
        </w:rPr>
        <w:t>E. 4.3</w:t>
      </w:r>
    </w:p>
    <w:p>
      <w:r>
        <w:t>En l'espèce, il est incontesté que le recourant est au bénéfice d'un titre de mainlevée définitive au sens de l'art. 80 LP.</w:t>
      </w:r>
    </w:p>
    <w:p>
      <w:r>
        <w:t>Pour le surplus, il est établi qu'il a, le 9 septembre 2010, notifié à l'intimé une sommation relative à la créance d'impôts impayée, laquelle est entrée en force. Cette sommation, tant selon la loi cantonale que selon la LHID, a pour conséquence qu'au moment de la notification du commandement de payer en mai 2015, la créance susmentionnée n'était pas prescrite.</w:t>
      </w:r>
    </w:p>
    <w:p>
      <w:r>
        <w:t>Le recours est ainsi fondé. Le jugement attaqué sera annulé, et, la cause étant en état d'être jugée (art. 327 al. 3 let. b CPC), il sera statué dans le sens que la mainlevée définitive de l'opposition formée au commandement de payer n° 1______ sera prononcée.</w:t>
      </w:r>
    </w:p>
    <w:p>
      <w:r>
        <w:rPr>
          <w:b/>
        </w:rPr>
        <w:t>E. 5</w:t>
      </w:r>
    </w:p>
    <w:p>
      <w:r>
        <w:t>L'intimé, qui succombe, supportera les frais des deux instances, arrêtés à 1'000 fr. (art. 48, 61 OELP), acquis à l'Etat de Genève (art. 111 al. 1 CPC). Il remboursera le recourant qui en a fait l'avance.</w:t>
      </w:r>
    </w:p>
    <w:p>
      <w:r>
        <w:t>Il ne sera pas alloué de dépens au recourant qui comparaît en personne, les démarches effectuées ne le justifiant pas (art. 95 al. 3 let. c CPC a contrario). * * * * *</w:t>
      </w:r>
    </w:p>
    <w:p>
      <w:r>
        <w:t>- 6/6 -</w:t>
      </w:r>
    </w:p>
    <w:p>
      <w:r>
        <w:t>C/15740/2015 PAR CES MOTIFS, La Chambre civile : A la forme : Déclare recevable le recours formé le 1er décembre 2015 par A______ contre le jugement JTPI/13742/2015 rendu le 17 novembre 2015 par le Tribunal de première instance dans la cause C/15740/2015-14 SML. Au fond : Annule ce jugement et, statuant à nouveau : Prononce la mainlevée définitive de l'opposition formée au commandement de payer poursuite n° 1______. Déboute les parties de toutes autres conclusions. Sur les frais : Arrête les frais judiciaires de première instance et de recours à 1'000 fr., les met à la charge de C______ et les compense avec l'avance de frais du même montant, acquise à l'Etat de Genève. Condamne C______ à rembourser 1'000 fr. à l'A______.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