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ACJC/375/2016 vom 16. Februar 2016</w:t>
      </w:r>
    </w:p>
    <w:p>
      <w:r>
        <w:t>GE Cour de justice, 2016-02-16, FR</w:t>
      </w:r>
    </w:p>
    <w:p>
      <w:r>
        <w:rPr>
          <w:b/>
        </w:rPr>
        <w:t xml:space="preserve">Quelle: </w:t>
      </w:r>
      <w:r>
        <w:t>https://mcp.opencaselaw.ch/entscheid/ge_gerichte_ACJC_375_2016</w:t>
      </w:r>
    </w:p>
    <w:p>
      <w:r>
        <w:t>FR: GE_GERICHTE ACJC/375/2016 du 16 février 2016</w:t>
      </w:r>
    </w:p>
    <w:p>
      <w:r>
        <w:t>IT: GE_GERICHTE ACJC/375/2016 del 16 febbraio 2016</w:t>
      </w:r>
    </w:p>
    <w:p>
      <w:pPr>
        <w:pStyle w:val="Heading2"/>
      </w:pPr>
      <w:r>
        <w:t>Volltext</w:t>
      </w:r>
    </w:p>
    <w:p>
      <w:r>
        <w:t>Le présent arrêt est communiqué aux parties par plis recommandés ainsi qu'au Tribunal de première instance le 17 mars 2016.</w:t>
      </w:r>
    </w:p>
    <w:p>
      <w:r>
        <w:t>RÉPUBLIQUE ET</w:t>
      </w:r>
    </w:p>
    <w:p>
      <w:r>
        <w:t>CANTON DE GENÈVE POUVOIR JUDICIAIRE C/4794/2014 ACJC/375/2016 ARRÊT DE LA COUR DE JUSTICE Chambre civile DU MERCREDI 16 MARS 2016</w:t>
      </w:r>
    </w:p>
    <w:p>
      <w:r>
        <w:t>Entre A.______ SA, ayant son siège ______, (GE), recourante contre une ordonnance rendue par la 1ère Chambre du Tribunal de première instance de ce canton le 16 février 2016, comparant par Me Serge Rouvinet, avocat, 6, rue De-Candolle, case postale 5256, 1211 Genève 11, en l'étude duquel elle fait élection de domicile aux fins des présentes, et Monsieur B.______, domicilié ______, (GE), intimé, comparant par Me Daniel Meyer, avocat, 7, rue Ferdinand-Hodler, 1207 Genève, en l'étude duquel il fait élection de domicile aux fins des présentes.</w:t>
      </w:r>
    </w:p>
    <w:p>
      <w:r>
        <w:t>- 2/4 -</w:t>
      </w:r>
    </w:p>
    <w:p>
      <w:r>
        <w:t>C/4794/2014 Vu, EN FAIT, l'ordonnance ORTPI/120/2016 rendue le 16 février 2016 et notifiée le lendemain, par laquelle Tribunal de première instance a rejeté la requête d'A.______ SA tendant à la suspension de la procédure (ch. 1) et mettant l'émolument de décision de 1'000 fr. à la charge de celle-ci (ch. 2); Vu le recours formé le 26 février 2016 par A.______ SA, qui conclut à l'annulation de ce jugement et, principalement, à la suspension de la procédure jusqu'à droit jugé dans la cause pénale P/______; Qu'elle demande l'octroi de l'effet suspensif, exposant qu'à défaut du prononcé de celui-ci, le Tribunal pourrait rendre sa décision, qui porte sur la demande formée par B.______ tendant à la constatation de la nullité de la décision de l'assemblée générale lui ayant retiré tout pouvoir, avant que le présent recours soit tranché; qu'en outre, si B.______ était réintégré dans ses pouvoirs, il pourrait continuer les détournements de fonds que la société lui reproche d'avoir commis; Que l'intimé s'en rapport à justice quant à l'octroi de l'effet suspensif; Considérant, EN DROIT, que, dans le cadre d'un recours,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l'ordonnance querellée a, notamment, rejeté la requête de suspension formée par la recourante; Qu'ainsi, cette dernière ne s'est vue octroyer aucun droit ni imposer aucune obligation à cet égard; Que, partant, la recourante ne peut se prévaloir d'aucune mesure susceptible d'être exécutée sur ce point (cf. ATF 126 V 407 consid. 3b et 3c); Qu'il ne peut donc être donné suite à sa requête en ce qui concerne le chiffre 1 de l'ordonnance;</w:t>
      </w:r>
    </w:p>
    <w:p>
      <w:r>
        <w:t>- 3/4 -</w:t>
      </w:r>
    </w:p>
    <w:p>
      <w:r>
        <w:t>C/4794/2014 Que le chiffre 2 comporte, certes, la condamnation de la recourante à payer un émolument de décision; Que la recourante ne soutient pas que le paiement de ce montant serait susceptible de lui causer un préjudice difficilement réparable, un tel préjudice ne paraissant au demeurant pas manifeste; Qu'ainsi, la requête d'effet suspensif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- 4/4 -</w:t>
      </w:r>
    </w:p>
    <w:p>
      <w:r>
        <w:t>C/4794/2014 PAR CES MOTIFS, La Présidente de la Chambre civile : Statuant sur suspension de l'exécution : Rejette la requête d'A.______ SA tendant à la suspension de l'effet exécutoire attaché à l'ordonnance ORTPI/120/2016 rendue le 16 février 2016 par le Tribunal de première instance dans la procédure C/4794/2014-1.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