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ACJC/374/2024 vom 6. Oktober 2023</w:t>
      </w:r>
    </w:p>
    <w:p>
      <w:r>
        <w:t>GE Cour de justice, 2023-10-06, FR</w:t>
      </w:r>
    </w:p>
    <w:p>
      <w:r>
        <w:rPr>
          <w:b/>
        </w:rPr>
        <w:t xml:space="preserve">Quelle: </w:t>
      </w:r>
      <w:r>
        <w:t>https://mcp.opencaselaw.ch/entscheid/ge_gerichte_ACJC_374_2024</w:t>
      </w:r>
    </w:p>
    <w:p>
      <w:r>
        <w:t>FR: GE_GERICHTE ACJC/374/2024 du 6 octobre 2023</w:t>
      </w:r>
    </w:p>
    <w:p>
      <w:r>
        <w:t>IT: GE_GERICHTE ACJC/374/2024 del 6 ottobre 2023</w:t>
      </w:r>
    </w:p>
    <w:p>
      <w:pPr>
        <w:pStyle w:val="Heading2"/>
      </w:pPr>
      <w:r>
        <w:t>Erwägungen</w:t>
      </w:r>
    </w:p>
    <w:p>
      <w:r>
        <w:rPr>
          <w:b/>
        </w:rPr>
        <w:t>E. 1.1</w:t>
      </w:r>
    </w:p>
    <w:p>
      <w:r>
        <w:t>Interjeté dans le délai utile de trente jours et suivant la forme prescrite par la loi (art. 130, 131, 142, 145 al. 1 let. c et 311 al. 1 CPC), à l'encontre d'une décision finale au sens de l'art. 308 al. 1 let. a CPC, statuant dans une affaire patrimoniale dont la valeur litigieuse est supérieure à 10'000 fr., l'appel est recevable.</w:t>
      </w:r>
    </w:p>
    <w:p>
      <w:r>
        <w:rPr>
          <w:b/>
        </w:rPr>
        <w:t>E. 1.2</w:t>
      </w:r>
    </w:p>
    <w:p>
      <w:r>
        <w:t>La Cour revoit la cause en fait et en droit avec un plein pouvoir d'examen (art. 310 CPC) dans la limite des griefs suffisamment motivés qui sont formulés (ATF 142 III 413 consid. 2.2.4 et les références citées).</w:t>
      </w:r>
    </w:p>
    <w:p>
      <w:r>
        <w:rPr>
          <w:b/>
        </w:rPr>
        <w:t>E. 1.3</w:t>
      </w:r>
    </w:p>
    <w:p>
      <w:r>
        <w:t>La maxime de disposition et la maxime des débats s'appliquent à la procédure concernant les contributions d'entretien après le divorce (art. 55 al. 1, 58 al. 1 et 277 al. 1 et 2 CPC).</w:t>
      </w:r>
    </w:p>
    <w:p>
      <w:r>
        <w:rPr>
          <w:b/>
        </w:rPr>
        <w:t>E. 2</w:t>
      </w:r>
    </w:p>
    <w:p>
      <w:r>
        <w:t>L'appelante fait grief au Tribunal d'avoir omis de l'interpeller pour l'inviter à rectifier son écriture de réponse et de lui avoir ensuite reproché d'avoir tardivement chiffré ses conclusions en versement d'une contribution d'entretien.</w:t>
      </w:r>
    </w:p>
    <w:p>
      <w:r>
        <w:t>2.1.1 L'action tendant au paiement d'une somme d'argent doit être chiffrée (art. 84 al. 2 CPC). L'exigence de conclusions chiffrées s'applique aussi dans le contexte de l'entretien (ATF 79 II 253 consid. 1; arrêt du Tribunal fédéral 5A_871/2022 du 30 novembre 2022 consid. 2).</w:t>
      </w:r>
    </w:p>
    <w:p>
      <w:r>
        <w:t>Le Tribunal fixe un délai pour la rectification des vices de forme telle que l'absence de signature ou de procuration (art. 132 al. 1 CPC). Cette disposition n'est pas applicable aux conclusions incomplètes prises dans un recours ou dans une demande (ATF 148 III 322 consid. 4; 137 III 617 consid. 6.4; arrêt du Tribunal fédéral 4A_618/217 du 11 janvier 2018 consid. 4.3 – 4.4). Le Tribunal interpelle les parties lorsque leurs actes ou déclarations sont peu clairs, contradictoires, imprécis ou manifestement incomplets et leur donne l'occasion de les clarifier et de les compléter (art. 56 CPC). Le devoir d'interpellation de l'art. 56 CPC ou la maxime inquisitoire sociale se rapportent à l'établissement des faits; elle n'est pas en cause s'agissant de conclusions mal formulées (arrêt du Tribunal fédéral 4A_618/217 du 11 janvier 2018 consid. 4.3.2).</w:t>
      </w:r>
    </w:p>
    <w:p>
      <w:r>
        <w:t>- 6/10 -</w:t>
      </w:r>
    </w:p>
    <w:p>
      <w:r>
        <w:t>C/2106/2018 Il n'appartient pas aux tribunaux de choisir, dans la motivation, quelle contribution d'entretien pourrait cas échéant être requise, lorsque ceci ne ressort pas suffisamment clairement des écritures (arrêt du Tribunal fédéral 5A_793/2014 du 18 mai 2015 consid. 3.2.1). 2.1.2 La demande ne peut être modifiée aux débats principaux que si les conditions fixées à l'art. 227 al. 1 CPC sont remplies et que la modification repose sur des faits ou des moyens de preuves nouveaux (art. 230 CPC). Les faits et moyens de preuve nouveaux ne sont admis aux débats principaux que s'ils sont invoqués sans retard et qu'ils remplissent l'une des conditions suivantes : (a) ils sont postérieurs à l'échange d'écritures ou à la dernière audience d'instructions (novas proprement dits), (b) ils existaient avant la clôture de l'échange d'écritures ou la dernière audience d'instruction mais ne pouvaient être invoqués antérieurement bien que la partie qui s'en prévaut ait fait preuve de la diligence requise (novas improprement dits) (art. 229 al. 1 CPC).</w:t>
      </w:r>
    </w:p>
    <w:p>
      <w:r>
        <w:rPr>
          <w:b/>
        </w:rPr>
        <w:t>E. 2.2</w:t>
      </w:r>
    </w:p>
    <w:p>
      <w:r>
        <w:t>En l'espèce, l'appelante n'a pas pris de conclusions chiffrées en versement d'une contribution d'entretien dans sa réponse du 30 novembre 2022. Elle a formulé de telles conclusions à hauteur de 3'361 fr. 10 dans ses plaidoiries finales tenues le 5 septembre 2023.</w:t>
      </w:r>
    </w:p>
    <w:p>
      <w:r>
        <w:t>Contrairement à ce que soutient l'appelante, le premier juge n'avait pas à l'interpeller pour lui permettre de compléter son écriture, dès lors que son omission de chiffrer ses conclusions en paiement ne constituait pas un vice de forme susceptible d'être rectifié en application de l'art. 132 CPC, ni ne relevait de l'établissement des faits permettant la mise en œuvre de l'art. 56 CPC. L'on ne saurait par ailleurs reprocher au Tribunal d'avoir fait preuve d'excès de formalisme en imputant l'omission de conclusions chiffrées à l'appelante, qui était assistée d'un avocat, dans la mesure où son écriture de réponse ne permettait pas, contrairement à ce qu'elle soutient, de déterminer le montant de la contribution d'entretien qu'elle entendait réclamer à son époux.</w:t>
      </w:r>
    </w:p>
    <w:p>
      <w:r>
        <w:t>C'est en conséquence à juste titre que le premier juge a retenu que les conclusions prises par l'appelante en versement d'une contribution d'entretien avaient été tardivement formulées.</w:t>
      </w:r>
    </w:p>
    <w:p>
      <w:r>
        <w:rPr>
          <w:b/>
        </w:rPr>
        <w:t>E. 3</w:t>
      </w:r>
    </w:p>
    <w:p>
      <w:r>
        <w:t>L'appelante s'en prend également à la motivation subsidiaire du Tribunal, qui a, sur le fond, retenu qu'aucune contribution ne lui était due en raison de l'absence d'incidence du mariage sur sa situation financière et de la situation financière serrée de l'époux.</w:t>
      </w:r>
    </w:p>
    <w:p>
      <w:r>
        <w:t>3.1.1 Si l'on ne peut raisonnablement attendre d'un époux qu'il pourvoie lui-même à son entretien convenable, y compris à la constitution d'une prévoyance vieillesse appropriée, son conjoint lui doit une contribution équitable (art. 125 al. 1 CC).</w:t>
      </w:r>
    </w:p>
    <w:p>
      <w:r>
        <w:t>- 7/10 -</w:t>
      </w:r>
    </w:p>
    <w:p>
      <w:r>
        <w:t>C/2106/2018 Cette disposition concrétise deux principes: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 4.1.1; arrêt du Tribunal fédéral 5A_361/2018 du 26 juin 2018, consid. 3.1).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Dans cette hypothèse, on admet en effet que la confiance placée par l'époux créancier dans la continuité du mariage et dans le maintien de la répartition des rôles, convenue librement par les conjoints, mérite objectivement d'être protégée. En l'absence d'une influence concrète sur les conditions de vie des époux, il convient en revanche de s'en tenir à la situation qui prévalait avant le mariage. Le conjoint qui a renoncé à son activité lucrative pendant celui-ci doit simplement être replacé dans la situation qui serait la sienne si le mariage n'avait pas été conclu; en d'autres termes, il faut examiner quelle situation économique aurait cet époux au moment du divorce s'il ne s'était pas marié. Le conjoint concerné a en quelque sorte droit à la réparation du préjudice causé par le mariage (ATF 135 III 59, c. 4.4; arrêt du Tribunal fédéral 5A_93/2019 du 13 septembre 2021, consid. 3.1 et les références citées). Un mariage peut notamment avoir une influence concrète s'il a duré au moins dix ans ou, indépendamment de sa durée, si les conjoints ont des enfants communs. A l'inverse, s'il a duré moins de cinq ans, on présume qu'une telle influence n'a pas eu lieu. Pour les mariages entre cinq et dix ans, il n'existe aucune présomption; il faut alors examiner, de cas en cas, si les circonstances de fait ont marqué de manière durable, ou non, les conditions de vie des conjoints (ATF 141 III 465 consid. 3.1, 135 III 59, c. 4.1; arrêts du Tribunal fédéral 5A_93/2019 du 13 septembre 2021, consid. 3.1 et les références citées; 5A_361/2018 du 26 juin 2018, consid. 3; 5A_479/2015 du 6 janvier 2016, consid. 4.4.1).</w:t>
      </w:r>
    </w:p>
    <w:p>
      <w:r>
        <w:t>3.1.2 Chaque partie doit prouver les faits qu'elle allègue pour en déduire son droit (art 8 CC). Cette disposition règle, pour tout le domaine du droit civil fédéral (ATF 115 II 300 consid. 3 p. 303), la répartition du fardeau de la preuve et, partant, les conséquences de l'absence de preuve (ATF 122 III 219 consid. 3c p. 223).</w:t>
      </w:r>
    </w:p>
    <w:p>
      <w:r>
        <w:t>- 8/10 -</w:t>
      </w:r>
    </w:p>
    <w:p>
      <w:r>
        <w:t>C/2106/2018 Lorsque le procès est soumis à la maxime des débats (art. 55 al. 1 CPC) - ce qui est le cas s'agissant des contributions d'entretien après le divorce (art. 277 al. 1 CPC), il incombe aux parties, et non au juge, de rassembler les faits du procès; les parties doivent alléguer les faits sur lesquels elles fondent leurs prétentions, produire les moyens de preuve qui s'y rapportent et contester les faits allégués par la partie adverse (ATF 144 III 519 consid. 5.1; arrêt du Tribunal fédéral 5A_166/2022 du 9 novembre 2023, consid. 6.1).</w:t>
      </w:r>
    </w:p>
    <w:p>
      <w:r>
        <w:rPr>
          <w:b/>
        </w:rPr>
        <w:t>E. 3.2</w:t>
      </w:r>
    </w:p>
    <w:p>
      <w:r>
        <w:t>En l'espèce, le Tribunal a retenu que l'intimé n'avait pas à contribuer à l'entretien de l'appelante, dans la mesure où le mariage n'avait pas eu d'incidence sur la situation professionnelle de cette dernière, qui percevait une rente invalidité depuis 2009 et n'exerçait pas d'activité lucrative avant le mariage.</w:t>
      </w:r>
    </w:p>
    <w:p>
      <w:r>
        <w:t>L'appelante se méprend lorsqu'elle reproche au premier juge d'avoir retenu qu'elle ne travaillait pas avant le mariage sur la base d'allégations que l'intimé aurait tardivement formulées lors des plaidoiries finales : elle perd en effet de vue qu'elle a elle-même allégué, dans sa réponse du 30 novembre 2022, n'avoir pas pu achever sa formation d'assistante médicale ni exercer d'activité professionnelle en raison de ses problèmes de pieds, et avoir bénéficié d'une rente invalidité depuis 2009.</w:t>
      </w:r>
    </w:p>
    <w:p>
      <w:r>
        <w:t>L'on ne saurait pas ailleurs suivre l'appelante lorsqu'elle fait grief au Tribunal d'avoir omis de retenir qu'elle exerçait une activité professionnelle avant le mariage, puisqu'elle n'a pas formulé d'allégués en ce sens en première instance, alors qu'il lui incombe de prouver et d'alléguer les faits relatifs à l'incidence du mariage sur sa situation professionnelle fondant ses prétentions en versement d'une contribution d'entretien.</w:t>
      </w:r>
    </w:p>
    <w:p>
      <w:r>
        <w:t>C'est, partant, à raison que le premier juge a retenu que le mariage des parties contracté en 2013 n'avait pas eu d'incidence concrète sur la situation professionnelle de l'appelante, qui n'exerçait pas d'activité lucrative et bénéficiait d'une rente invalidité depuis 2009.</w:t>
      </w:r>
    </w:p>
    <w:p>
      <w:r>
        <w:t>Il sera encore relevé que même à supposer qu'une telle incidence ait été admise, aucune contribution d'entretien en faveur de l'appelante n'aurait été mise à la charge de l'intimé au regard de sa situation financière, vu que ses seuls revenus ne lui permettaient pas de couvrir ses charges courantes et qu'il ne pouvait être exigé de lui qu'il puise dans sa fortune, qui s'élevait à 43'530 fr. à fin novembre 2023 et lui était nécessaire pour faire face à ses propres besoins. Le raisonnement du Tribunal à cet égard, exempt de toute critique, sera également confirmé.</w:t>
      </w:r>
    </w:p>
    <w:p>
      <w:r>
        <w:t>Les griefs soulevés par l'appelante sont ainsi infondés. Le jugement querellé sera en conséquence confirmé.</w:t>
      </w:r>
    </w:p>
    <w:p>
      <w:r>
        <w:t>- 9/10 -</w:t>
      </w:r>
    </w:p>
    <w:p>
      <w:r>
        <w:t>C/2106/2018</w:t>
      </w:r>
    </w:p>
    <w:p>
      <w:r>
        <w:rPr>
          <w:b/>
        </w:rPr>
        <w:t>E. 4</w:t>
      </w:r>
    </w:p>
    <w:p>
      <w:r>
        <w:t>Les frais judiciaires d'appel seront arrêtés à 1'000 fr. et mis à la charge de l'appelante, qui succombe (art. 95 et 106 al. 1 CPC; art. 30 et 35 RTFMC).</w:t>
      </w:r>
    </w:p>
    <w:p>
      <w:r>
        <w:t>Il ne sera pas alloué de dépens à l'intimé, représenté par son curateur (art. 68 et 95 al. 3 CPC). * * * * *</w:t>
      </w:r>
    </w:p>
    <w:p>
      <w:r>
        <w:t>- 10/10 -</w:t>
      </w:r>
    </w:p>
    <w:p>
      <w:r>
        <w:t>C/2106/2018 PAR CES MOTIFS, La Chambre civile : A la forme : Déclare recevable l'appel formé le 15 novembre 2023 par A______ contre le jugement JTPI/11455/2023 rendu par le Tribunal de première instance le 6 octobre 2023 dans la cause C/2106/2018. Au fond : Confirme ce jugement. Déboute les parties de toutes autres conclusions. Sur les frais : Arrête les frais judiciaires d'appel à 1'000 fr. et les met à la charge de A______. Condamne A______ à verser 1'000 fr. aux Services financiers du Pouvoir judiciaire à titre de frais judiciaires d'appel. Siégeant : Madame Ursula ZEHETBAUER GHAVAMI,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