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ACJC/373/2025 vom 11. März 2025</w:t>
      </w:r>
    </w:p>
    <w:p>
      <w:r>
        <w:t>GE Cour de justice, 2025-03-11, FR</w:t>
      </w:r>
    </w:p>
    <w:p>
      <w:r>
        <w:rPr>
          <w:b/>
        </w:rPr>
        <w:t xml:space="preserve">Quelle: </w:t>
      </w:r>
      <w:r>
        <w:t>https://mcp.opencaselaw.ch/entscheid/ge_gerichte_ACJC_373_2025</w:t>
      </w:r>
    </w:p>
    <w:p>
      <w:r>
        <w:t>FR: GE_GERICHTE ACJC/373/2025 du 11 mars 2025</w:t>
      </w:r>
    </w:p>
    <w:p>
      <w:r>
        <w:t>IT: GE_GERICHTE ACJC/373/2025 del 11 marzo 2025</w:t>
      </w:r>
    </w:p>
    <w:p>
      <w:pPr>
        <w:pStyle w:val="Heading2"/>
      </w:pPr>
      <w:r>
        <w:t>Erwägungen</w:t>
      </w:r>
    </w:p>
    <w:p>
      <w:r>
        <w:rPr>
          <w:b/>
        </w:rPr>
        <w:t>E. 1.1</w:t>
      </w:r>
    </w:p>
    <w:p>
      <w:r>
        <w:t>La décision entreprise ayant été communiquée aux recourants avant le 1er janvier 2025, le présent recours demeure régi par l'ancien droit de procédure (art. 404 al. 1 et 405 al. 1 CPC), sous réserve des dispositions d'application immédiate énumérées à l'art. 407f CPC, dont l'art. 98 CPC ne fait pas partie.</w:t>
      </w:r>
    </w:p>
    <w:p>
      <w:r>
        <w:rPr>
          <w:b/>
        </w:rPr>
        <w:t>E. 1.2</w:t>
      </w:r>
    </w:p>
    <w:p>
      <w:r>
        <w:t>Selon l'art. 103 CPC, les décisions relatives aux avances de frais et aux sûretés peuvent faire l'objet d'un recours. La décision entreprise est une ordonnance d'instruction, soumise au délai de recours de dix jours de l'art. 321 al. 2 CPC (art. 319 let. b ch. 1 CPC; TAPPY in CPC, Code de procédure civile commenté, 2011, n. 4 et 11 ad art. 103 CPC; SUTER/VON HOLZEN, in Kommentar zur Schweizerischen Zivilprozessordnung [ZPO], Sutter-Somm/Hasenböhler/Leuenberger [éd.], éd. 2016, n. 14 ad art. 99 CPC et n. 8 ad art. 103 CPC). En l'espèce, le recours a été formé dans le délai légal (art. 321 al. 1 et 142 al. 3 CPC) et est recevable à la forme. Au décès de D______, son unique héritier attesté par acte notarié du 15 novembre 2023 s’est substitué de plein droit en qualité de partie à la procédure, sans que l’autorité saisie ou les parties n’aient à effectuer une démarche en vue de cette substitution intervenue ex lege (art. 560 CC et 83 al. 4 2ème phrase CPC; acquisition de plein droit de l’universalité de la succession).</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1.4</w:t>
      </w:r>
    </w:p>
    <w:p>
      <w:r>
        <w:t>Les conclusions nouvelles sont irrecevables en procédure de recours (art. 326 al. 1 CPC).</w:t>
      </w:r>
    </w:p>
    <w:p>
      <w:r>
        <w:t>- 5/11 -</w:t>
      </w:r>
    </w:p>
    <w:p>
      <w:r>
        <w:t>C/12640/2022</w:t>
      </w:r>
    </w:p>
    <w:p>
      <w:r>
        <w:t>Partant, les conclusions nouvelles formées par le recourant A______ en disjonction des causes sont irrecevables. En tout état, la Cour a, dans son arrêt ACJC/1318/2024 du 18 octobre 2024, considéré qu'il ne se justifiait pas d'ordonner une division de la cause.</w:t>
      </w:r>
    </w:p>
    <w:p>
      <w:r>
        <w:rPr>
          <w:b/>
        </w:rPr>
        <w:t>E. 2</w:t>
      </w:r>
    </w:p>
    <w:p>
      <w:r>
        <w:t>Les recourants se plaignent en premier lieu d'une violation de leur droit d'être entendus, la décision rendue par le Tribunal n'étant pas motivée.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comprend l'obligation du tribunal d'apprécier toutes les allégations pertinentes que les parties ont formulées à temps (ATF 142 II 218 consid. 3.3).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255;136 V 117 consid. 4.2.2.2; 133 I 201 consid. 2.2). Malgré son caractère formel, la garantie du droit d'être entendu n'est pas une fin en soi. Lorsqu'on ne voit pas quelle influence la violation du droit d'être entendu a pu avoir sur la procédure, il n'y a pas lieu d'annuler la décision attaquée (arrêts du Tribunal fédéral 4D_76/2020 du 2 juin 2021 consid. 4.2; 4A_148/2020 du 20 mai</w:t>
      </w:r>
    </w:p>
    <w:p>
      <w:r>
        <w:t>- 6/11 -</w:t>
      </w:r>
    </w:p>
    <w:p>
      <w:r>
        <w:t>C/12640/2022</w:t>
      </w:r>
    </w:p>
    <w:p>
      <w:r>
        <w:t>2020 consid. 3.2).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(arrêt du Tribunal fédéral 4A_453/2016 du 16 février 2017 consid. 4.2.3 et 4.2.4).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142 II 218 consid. 2.8.1; 136 III 174 consid. 5.1.2; 133 I 201 consid. 2.2; arrêt du Tribunal fédéral 5A_897/2015 du 1er février 2016 consid. 3.2.2),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1er février 2016 consid. 3.2.1; 5A_296/2013 du 9 juillet 2013 consid. 3.1).</w:t>
      </w:r>
    </w:p>
    <w:p>
      <w:r>
        <w:rPr>
          <w:b/>
        </w:rPr>
        <w:t>E. 2.2</w:t>
      </w:r>
    </w:p>
    <w:p>
      <w:r>
        <w:t>En l'espèce, la décision d'avance de frais rendue par le Tribunal est certes succincte, mais elle mentionne les bases légales sur lesquelles il s'est fondé pour fixer le montant de l'avance de frais, de sorte qu'elle est suffisante. Le premier juge a par ailleurs implicitement renoncé à réduire le montant de l'avance. Les recourants ont d'ailleurs pu contester utilement la décision présentement querellée. Par ailleurs, et même s'il fallait admettre la violation du droit d'être entendu, il ne se justifierait pas pour autant d'annuler la décision attaquée et de renvoyer la cause en première instance. En effet, la Cour dispose d'un plein pouvoir d'examen en droit de sorte que, la recourante ayant fait valoir ses griefs devant la présente instance, ils pourront valablement en tant que de besoin être examiné par elle. En tout état, un renvoi au Tribunal ne constituerait qu'une vaine formalité. En effet, le Tribunal a, dans ses observations à la suite du recours formé, conclu au rejet du recours, en explicitant le calcul de l'avance de frais opéré. Ce premier grief est par conséquent infondé.</w:t>
      </w:r>
    </w:p>
    <w:p>
      <w:r>
        <w:rPr>
          <w:b/>
        </w:rPr>
        <w:t>E. 3</w:t>
      </w:r>
    </w:p>
    <w:p>
      <w:r>
        <w:t>Les recourants reprochent au Tribunal d'avoir fixé une avance de frais trop élevée et de ne pas avoir, en équité, réduit dans la plus grande mesure possible le montant de celle-ci.</w:t>
      </w:r>
    </w:p>
    <w:p>
      <w:r>
        <w:t>- 7/11 -</w:t>
      </w:r>
    </w:p>
    <w:p>
      <w:r>
        <w:t>C/12640/2022</w:t>
      </w:r>
    </w:p>
    <w:p>
      <w:r>
        <w:t>3.1.1 Aux termes de l'art. 98 CPC, le tribunal peut exiger du demandeur une avance à concurrence de la totalité des frais judiciaires présumés. L'avance a un double but: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art. 98 CPC).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(arrêts du Tribunal fédéral 8C_924/2013 du 17 juin 2014 consid. 4.3; 4A_186/2012 du 19 juin 2012 consid. 7).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consid.1.2.2; STOUDMANN, Petit commentaire, Code de procédure civile, n. 14 ad art. 98 CPC). 3.1.2 Dans la fixation des frais de justice, la valeur litigieuse joue un rôle déterminant (ATF 139 III 334 consid. 3.2.4). La valeur du litige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CPC). L'objet du litige et la nature de l'action introduite sont déterminés par les conclusions de la demande et les faits invoqués à l'appui de celle-ci (ATF 130 III 547 consid. 2.1; 117 II 26 consid. 2a et les références citées; arrêt du Tribunal fédéral 5A_408/2016 du 21 juillet 2017 consid. 4.2), à savoir par le complexe de</w:t>
      </w:r>
    </w:p>
    <w:p>
      <w:r>
        <w:t>- 8/11 -</w:t>
      </w:r>
    </w:p>
    <w:p>
      <w:r>
        <w:t>C/12640/2022</w:t>
      </w:r>
    </w:p>
    <w:p>
      <w:r>
        <w:t>faits sur lequel les conclusions se fondent (ATF 142 III 210 consid. 2.1; 139 III 126 consid. 3.2.2; 135 III 123 consid. 4.3.1). 3.1.3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Ils sont fixés entre 100'000 fr. et 200'000 fr. lorsque la valeur litigieuse excède 10 millions de francs (art. 19 al. 3 let. d LaCC).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Lorsqu'une cause est retirée, transigée, déclarée irrecevable, jointe à une autre cause ou lorsque l'équité le justifie, l'émolument minimal peut être réduit, au maximum à concurrence des ¾, mais, en principe, pas en-deçà d'un solde de 1'000 fr. (art. 7 al. 1 RTFMC). Lorsque des circonstances particulières le justifient, il peut être entièrement renoncé à la fixation d'un émolument (art. 7 al. 2 RTFMC). Dans les causes pécuniaires, une valeur litigieuse comprise dès 10'000'001 fr. donne lieu à un émolument compris entre 100'000 fr. et 200'000 fr. (art. 17 tiret</w:t>
      </w:r>
    </w:p>
    <w:p>
      <w:r>
        <w:rPr>
          <w:b/>
        </w:rPr>
        <w:t>E. 3.2</w:t>
      </w:r>
    </w:p>
    <w:p>
      <w:r>
        <w:t>En l'espèce, les recourants font grief au Tribunal d'avoir fixé une avance de frais trop élevée. Les recourants ne contestent pas, à juste titre, le caractère pécuniaire de la procédure formée devant le Tribunal et l'application de l'art. 17 RTFMC. Il est également constant que la valeur litigieuse de la présente procédure est supérieure à 100 millions de francs. Au regard des art. 19 al. 3 LaCC et 17 RTFMC, une valeur litigieuse supérieure à</w:t>
      </w:r>
    </w:p>
    <w:p>
      <w:r>
        <w:rPr>
          <w:b/>
        </w:rPr>
        <w:t>E. 3.3</w:t>
      </w:r>
    </w:p>
    <w:p>
      <w:r>
        <w:t>Compte tenu de l'effet suspensif accordé au recours, un délai de 30 jours sera imparti aux recourants pour verser l'avance de frais de 240'000 fr. fixée par la décision entreprise. 4. Les frais judicaires de recours, arrêtés à 800 fr., seront mis à la charge des recourants, qui succombent (art. 106 al. 1 CC), et partiellement compensés avec l'avance fournie, qui reste acquise à l'Etat de Genève (art. 111 al. 1 CPC). Les recourants sont condamnés, solidairement entre eux, à verser le solde de 200 fr. aux Services financiers du Pouvoir judiciaire. * * * * *</w:t>
      </w:r>
    </w:p>
    <w:p>
      <w:r>
        <w:t>- 11/11 -</w:t>
      </w:r>
    </w:p>
    <w:p>
      <w:r>
        <w:t>C/12640/2022</w:t>
      </w:r>
    </w:p>
    <w:p>
      <w:r>
        <w:t>PAR CES MOTIFS, La Chambre civile : A la forme : Déclare recevable le recours interjeté le 23 janvier 2023 par A______ et B______ contre la décision DTPI/250/2023 rendue le 10 janvier 2023 par le Tribunal de première instance dans la cause C/12640/2022. Au fond : Le rejette. Impartit à A______ et B______ un délai de 30 jours dès réception du présent arrêt pour verser l'avance de frais de 240'000 fr. Déboute A______ et B______ de toutes autres conclusions de recours. Sur les frais : Arrête les frais judiciaires du recours à 800 fr., compensés à due concurrence avec l'avance de frais fournie, acquise à l'Etat de Genève, et les met à la charge de A______ et B______, solidairement entre eux. Condamne A______ et B______, solidairement entre eux, à verser 200 fr. aux Services financiers du Pouvoir judiciaire. Siégeant : Madame Jocelyne DEVILLE-CHAVANNE, présidente; Madame Verena PEDRAZZINI RIZZI et Madame Nathalie LANDRY-BARTHE,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6</w:t>
      </w:r>
    </w:p>
    <w:p>
      <w:r>
        <w:t>RTFMC). En cas de pluralité de demandeurs ou de défendeurs, les émoluments sont majorés de 20% (art. 13 RTFMC). 3.1.4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w:t>
      </w:r>
    </w:p>
    <w:p>
      <w:r>
        <w:t>- 9/11 -</w:t>
      </w:r>
    </w:p>
    <w:p>
      <w:r>
        <w:t>C/12640/2022</w:t>
      </w:r>
    </w:p>
    <w:p>
      <w:r>
        <w:t>L'avance de frais ne préjuge pas de la décision à rendre plus tard quant au montant des frais judiciaires (arrêt du Tribunal fédéral 4A_226/2014 du 6 août 2014 consid. 2.1). Dès lors, la Cour examine la cause avec une certaine réserve. Ainsi, seul un abus du pouvoir d'appréciation du juge constitue une violation de la loi (ACJC/1547/2018 du</w:t>
      </w:r>
    </w:p>
    <w:p>
      <w:r>
        <w:rPr>
          <w:b/>
        </w:rPr>
        <w:t>E. 8</w:t>
      </w:r>
    </w:p>
    <w:p>
      <w:r>
        <w:t>novembre 2018; ACJC/278/2014 du 25 février 2014; ACJC/208/2014 du 13 février 2014; TAPPY, op. cit., n. 8 ad. art. 98 CPC). 3.1.5 Le tribunal n’entre en matière que sur les demandes et les requêtes qui satisfont aux conditions de recevabilité de l’action, soit notamment si les avances et les sûretés en garantie des frais de procès ont été versées (art. 59 al. 2 let. f CPC).</w:t>
      </w:r>
    </w:p>
    <w:p>
      <w:r>
        <w:rPr>
          <w:b/>
        </w:rPr>
        <w:t>E. 10</w:t>
      </w:r>
    </w:p>
    <w:p>
      <w:r>
        <w:t>millions de francs donne lieu à un émolument de 100'000 fr. à 200'000 fr. La présente valeur litigieuse de plus de 100 millions de francs est dix fois plus élevée que celle indiquée ci-avant, de sorte que le Tribunal était fondé à retenir un émolument de 200'000 fr. Il est par ailleurs constant que la demande a été formée par les deux recourants, ce qui justifie une majoration de 20%, en application de l'art. 13 RTFMC.</w:t>
      </w:r>
    </w:p>
    <w:p>
      <w:r>
        <w:t>Selon les recourants, le complexe de faits délimitant le cadre de leur demande en paiement était pour l'essentiel définitivement établi par la procédure pénale. L'acte illicite commis par la Banque et par son ancien directeur, le principe du dommage, le rapport de causalité et la faute ne pouvaient pas être remis en cause par la précitée dans la présente procédure, seul le quantum du dommage devant être établi. La demande en paiement des recourants, de 90 pages, comporte 229 allégués de fait et fait état de 2'168 opérations illicites exécutées par l'ancien directeur de la Banque. Les recourants ont également indiqué qu'une expertise judiciaire serait vraisemblablement nécessaire. Au vu de ce qui précède, il sera retenu que la procédure présente une complexité certaine, ce qui laisse présager de nombreux actes d'instruction à mener par le Tribunal, contrairement à ce que font valoir les recourants.</w:t>
      </w:r>
    </w:p>
    <w:p>
      <w:r>
        <w:t>- 10/11 -</w:t>
      </w:r>
    </w:p>
    <w:p>
      <w:r>
        <w:t>C/12640/2022</w:t>
      </w:r>
    </w:p>
    <w:p>
      <w:r>
        <w:t>Lors de la fixation de l'avance de frais, le Tribunal ne peut préjuger de l'issue de la procédure, en particulier pas de ses chances de succès. A ce stade, la partie intimée n'a pas encore été invitée à déposer son écriture de réponse et faire valoir ses moyens, de même que ses offres de preuve. Le fait que les recourants aient dû faire face depuis plus de sept ans à de multiples procédures complexes ne permet pas de considérer que l'équité commanderait de réduire le montant de l'avance de frais, cet élément étant exorbitant aux critères permettant de fixer le montant de l'avance de frais.</w:t>
      </w:r>
    </w:p>
    <w:p>
      <w:r>
        <w:t>Les recourants n'ont pour le surplus fait valoir aucune difficulté financière en lien avec le paiement de l'avance de frais fixée par le Tribunal. L'on ne discerne en conséquence aucun abus de pouvoir d'appréciation du Tribunal dans la fixation du montant de l'avance de frais, de sorte que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