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ACJC/373/2018 vom 26. März 2018</w:t>
      </w:r>
    </w:p>
    <w:p>
      <w:r>
        <w:t>GE Cour de justice, 2018-03-26, FR</w:t>
      </w:r>
    </w:p>
    <w:p>
      <w:r>
        <w:rPr>
          <w:b/>
        </w:rPr>
        <w:t xml:space="preserve">Quelle: </w:t>
      </w:r>
      <w:r>
        <w:t>https://mcp.opencaselaw.ch/entscheid/ge_gerichte_ACJC_373_2018</w:t>
      </w:r>
    </w:p>
    <w:p>
      <w:r>
        <w:t>FR: GE_GERICHTE ACJC/373/2018 du 26 mars 2018</w:t>
      </w:r>
    </w:p>
    <w:p>
      <w:r>
        <w:t>IT: GE_GERICHTE ACJC/373/2018 del 26 marzo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4C_310/1996 du 16 avril 1997, in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- 12/19 -</w:t>
      </w:r>
    </w:p>
    <w:p>
      <w:r>
        <w:t>C/15947/2015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Selon l'art. 311 al. 1 CPC, l'appel, écrit et motivé, est introduit auprès de l'instance d'appel dans les trente jours à compter de la notification de la décision.</w:t>
      </w:r>
    </w:p>
    <w:p>
      <w:r>
        <w:t>Interjeté dans le délai et suivant la forme prescrits par la loi (art. 130, 131, 311 al. 1 CPC), l'appel est donc recevable.</w:t>
      </w:r>
    </w:p>
    <w:p>
      <w:r>
        <w:rPr>
          <w:b/>
        </w:rPr>
        <w:t>E. 1.3</w:t>
      </w:r>
    </w:p>
    <w:p>
      <w:r>
        <w:t>La Cour de justice revoit la cause avec un plein pouvoir d'examen (art. 310 CPC; HOHL, Procédure civile, tome II, 2010, n. 2314 et 2416).</w:t>
      </w:r>
    </w:p>
    <w:p>
      <w:r>
        <w:rPr>
          <w:b/>
        </w:rPr>
        <w:t>E. 2</w:t>
      </w:r>
    </w:p>
    <w:p>
      <w:r>
        <w:t>juin 2008 consid. 1.1; 4A_516/2007 du 6 mars 2008 consid. 1.1).</w:t>
      </w:r>
    </w:p>
    <w:p>
      <w:r>
        <w:t>En l'espèce, les loyers annuels cumulés, charges non comprises, des quatre baux à loyer s'élèvent à 58'716 fr. La procédure cantonale s'achèvera avec l'arrêt que prononcera la Chambre de céans. En prenant en compte la période de trois ans après cet arrêt, la valeur litigieuse est largement supérieure à 10'000 fr.</w:t>
      </w:r>
    </w:p>
    <w:p>
      <w:r>
        <w:t>La voie de l'appel est ainsi ouverte.</w:t>
      </w:r>
    </w:p>
    <w:p>
      <w:r>
        <w:rPr>
          <w:b/>
        </w:rPr>
        <w:t>E. 2.1</w:t>
      </w:r>
    </w:p>
    <w:p>
      <w:r>
        <w:t>La Cour examine, en principe, d'office la recevabilité des faits nouvellement allégués et des pièces produites en appel (REETZ/HILBER, Kommentar zur Schweizerischen Zivilprozessordnung, 3ème éd. 2016,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Les deux conditions sont cumulatives.</w:t>
      </w:r>
    </w:p>
    <w:p>
      <w:r>
        <w:t>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 5 septembre 2016 consid. 2.2).</w:t>
      </w:r>
    </w:p>
    <w:p>
      <w:r>
        <w:t>Il appartient donc au plaideur de faire preuve de la diligence requise, ce qui implique notamment d'exposer précisément les raisons pour lesquelles le moyen de preuve n'a pas pu être produit en première instance (arrêt du Tribunal fédéral 5A_445/2014 du 28 août 2014 consid. 2.1).</w:t>
      </w:r>
    </w:p>
    <w:p>
      <w:r>
        <w:t>- 13/19 -</w:t>
      </w:r>
    </w:p>
    <w:p>
      <w:r>
        <w:t>C/15947/2015</w:t>
      </w:r>
    </w:p>
    <w:p>
      <w:r>
        <w:t>A cela s'ajoute qu'en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4A_511/2016 du 2 mai 2017 consid. 2.3.2).</w:t>
      </w:r>
    </w:p>
    <w:p>
      <w:r>
        <w:rPr>
          <w:b/>
        </w:rPr>
        <w:t>E. 2.2</w:t>
      </w:r>
    </w:p>
    <w:p>
      <w:r>
        <w:t>En l'espèce, la pièce n° 39 de l'appelant n'est pas recevable puisque cette dernière aurait pu être produite devant l'instance précédente dès lors qu'il s'agit d'un courrier de la régie du 29 mai 2006. L'appelant n'a donc pas fait preuve de la diligence requise en produisant cette pièce et en invoquant ces faits seulement au stade de l'appel. Ceux-ci seront donc écartés de la procédure.</w:t>
      </w:r>
    </w:p>
    <w:p>
      <w:r>
        <w:t>Les pièces 40 et 41 produites par l'appelant dans le respect des conditions posées par l'art. 317 al. 1 CPC rappelées ci-dessus sont recevables, ainsi que les allégués de fait s'y rapportant.</w:t>
      </w:r>
    </w:p>
    <w:p>
      <w:r>
        <w:t>L'échange de courriels intervenu entre la régie et le voisin de l'intimée est irrecevable, car produit par l'intimée après que la cause ait été gardée à juger.</w:t>
      </w:r>
    </w:p>
    <w:p>
      <w:r>
        <w:rPr>
          <w:b/>
        </w:rPr>
        <w:t>E. 3</w:t>
      </w:r>
    </w:p>
    <w:p>
      <w:r>
        <w:t>Dans un premier grief, l'appelant reproche au Tribunal d'avoir retenu à tort que les congés étaient annulables en vertu de l'art. 271 al. 1 CO.</w:t>
      </w:r>
    </w:p>
    <w:p>
      <w:r>
        <w:t>Selon lui, le Tribunal aurait procédé à une constatation et à une appréciation inexacte des faits et des preuves, en retenant à tort que le bailleur se serait substitué à l'intimée pour décider à sa place si elle pouvait continuer à exercer son activité dans les locaux loués pendant les travaux de surélévation prévus et en lui reprochant de ne s'être prévalu de l'augmentation des coûts qu'au moment des plaidoiries finales.</w:t>
      </w:r>
    </w:p>
    <w:p>
      <w:r>
        <w:rPr>
          <w:b/>
        </w:rPr>
        <w:t>E. 3.1.1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w:t>
      </w:r>
    </w:p>
    <w:p>
      <w:r>
        <w:t>- 14/19 -</w:t>
      </w:r>
    </w:p>
    <w:p>
      <w:r>
        <w:t>C/15947/2015 de résiliation particulier (art. 266a al. 1 CO), et ce même si elle entraîne des conséquences pénibles pour le locataire (ATF 140 III 496 consid. 4.1; 138 III 59 consid. 2.1).</w:t>
      </w:r>
    </w:p>
    <w:p>
      <w:r>
        <w:t>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w:t>
      </w:r>
    </w:p>
    <w:p>
      <w:r>
        <w:rPr>
          <w:b/>
        </w:rPr>
        <w:t>E. 3.1.2</w:t>
      </w:r>
    </w:p>
    <w:p>
      <w:r>
        <w:t>La seule limite à la liberté contractuelle des parties découle des règles de la bonne foi, à savoir que lorsque le bail porte sur une habitation ou un local commercial, le congé est annulable lorsqu'il contrevient aux règles de la bonne foi (art. 271 al. 1 CO; cf. également art. 271a CO; ATF 140 III 496 consid. 4.1; 138 III 59 consid. 2.1).</w:t>
      </w:r>
    </w:p>
    <w:p>
      <w:r>
        <w:t>La protection conférée par l'art. 271 CO procède donc à la fois du principe de la bonne foi (art. 2 al. 1 CC) et de l'interdiction de l'abus de droit (art. 2 al. 2 CC).</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ATF 135 III 162 consid. 3.3.1).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t>Les règles de la bonne foi (art. 2 al. 1 CC) qui régissent le rapport de confiance inhérent à la relation contractuelle permettent aussi d'obtenir l'annulation du congé si le motif sur lequel il repose s'avère incompatible avec elles (ATF 120 II 105 consid. 3a).</w:t>
      </w:r>
    </w:p>
    <w:p>
      <w:r>
        <w:t>- 15/19 -</w:t>
      </w:r>
    </w:p>
    <w:p>
      <w:r>
        <w:t>C/15947/2015</w:t>
      </w:r>
    </w:p>
    <w:p>
      <w:r>
        <w:rPr>
          <w:b/>
        </w:rPr>
        <w:t>E. 3.1.3</w:t>
      </w:r>
    </w:p>
    <w:p>
      <w:r>
        <w:t>Le but de la réglementation de l'art. 271 CO est donc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du 26 août 2016 consid. 3.2; 4A_484/2012 du 28 février 2013 consid. 2.3.1 et les arrêts cités).</w:t>
      </w:r>
    </w:p>
    <w:p>
      <w:r>
        <w:t>Pour pouvoir examiner si le congé ordinaire contrevient ou non aux règles de la bonne foi, il faut déterminer quel est le motif de congé invoqué par le bailleur.</w:t>
      </w:r>
    </w:p>
    <w:p>
      <w:r>
        <w:t>Pour ce faire, il faut se placer au moment où le congé a été notifié (ATF 140 III 496 consid. 4.1; 138 III 59 consid. 2.1). Des faits survenus ultérieurement ne sont en effet pas susceptibles d'influer a posteriori sur cette qualification; tout au plus peuvent-ils fournir un éclairage sur les intentions du bailleur au moment de la résiliation (ATF 138 III 59 consid. 2.1 in fine; arrêts du Tribunal fédéral 4A_67/2016 du 7 juin 2016 consid. 6.1; 4A_430/2013 du 14 février 2014 consid. 2; 4A_623/2010 du 2 février 2011 consid. 2.4).</w:t>
      </w:r>
    </w:p>
    <w:p>
      <w:r>
        <w:rPr>
          <w:b/>
        </w:rPr>
        <w:t>E. 3.1.4</w:t>
      </w:r>
    </w:p>
    <w:p>
      <w:r>
        <w:t>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Il ne faut donc pas s'arrêter aux expressions ou dénominations inexactes dont le bailleur a pu se servir (art. 18 al. 1 CO).</w:t>
      </w:r>
    </w:p>
    <w:p>
      <w:r>
        <w:t>Il s'agira ensuite de vérifier si ce motif est réel, ou s'il n'est qu'un prétexte, ce qui relève des constatations de fait (ATF 136 III 190 consid. 2; 131 III 535 consid. 4.3; 130 III 699 consid. 4.1).</w:t>
      </w:r>
    </w:p>
    <w:p>
      <w:r>
        <w:rPr>
          <w:b/>
        </w:rPr>
        <w:t>E. 3.1.5</w:t>
      </w:r>
    </w:p>
    <w:p>
      <w:r>
        <w:t>Dans un arrêt de principe rendu en 2008 (ATF 135 III 112), le Tribunal fédéral a jugé qu'une résiliation de bail en vue de vastes travaux d'assainissement de l'objet loué ne contrevient pas aux règles de la bonne foi. Il en va ainsi même si le locataire se dit prêt à rester dans l'appartement durant les travaux et à</w:t>
      </w:r>
    </w:p>
    <w:p>
      <w:r>
        <w:t>- 16/19 -</w:t>
      </w:r>
    </w:p>
    <w:p>
      <w:r>
        <w:t>C/15947/2015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donné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arrêt du Tribunal fédéral 4A_625/2014 consid. 4).</w:t>
      </w:r>
    </w:p>
    <w:p>
      <w:r>
        <w:t>Si le locataire quitte les lieux durant les travaux pour ne réintégrer l'appartement qu'une fois les travaux terminés, la réalisation des travaux n'est pas rendue plus compliquée; dans une telle situation, la question d'un congé abusif peut se poser. Mais il convient de se référer à la situation prévalant au moment du congé pour déterminer s'il est abusif. Un congé abusif ne se conçoit dès lors que si le bailleur a résilié le contrat alors qu'il avait la garantie que le moment venu, le locataire irait se loger ailleurs le temps que les travaux soient terminés. Il faut d'une part que le locataire ait pris l'engagement avant la résiliation; un engagement ultérieur ne saurait a posteriori transformer un congé licite en un congé abusif. Il faut d'autre part que l'engagement soit sérieux; on ne saurait exiger du bailleur qu'il renonce à mettre fin au contrat de bail sur la base de vagues promesses du locataire, sauf à rendre illusoire la possibilité de résilier le bail en vue de procéder à des travaux importants (arrêt du Tribunal fédéral 4A_126/2012 du 3 août 2012 consid. 4.2).</w:t>
      </w:r>
    </w:p>
    <w:p>
      <w:r>
        <w:t>- 17/19 -</w:t>
      </w:r>
    </w:p>
    <w:p>
      <w:r>
        <w:t>C/15947/2015</w:t>
      </w:r>
    </w:p>
    <w:p>
      <w:r>
        <w:rPr>
          <w:b/>
        </w:rPr>
        <w:t>E. 3.2</w:t>
      </w:r>
    </w:p>
    <w:p>
      <w:r>
        <w:t>En l'espèce, les congés notifiés par l'appelant en date du 1er juillet 2015 avaient pour seul motif le fait que l'intimée serait dans l'incapacité d'exercer son activité dans les locaux loués durant la période des travaux de surélévation, en raison des nuisances sonores importantes prévisibles.</w:t>
      </w:r>
    </w:p>
    <w:p>
      <w:r>
        <w:t>Bien que l'appelant ait allégué lors des plaidoiries finales de première instance que le maintien de l'intimée était de nature à entraîner un accroissement des difficultés, du coût et de la durée des travaux de surélévation projetés, force est de constater que l'appelant a échoué à en apporter la preuve.</w:t>
      </w:r>
    </w:p>
    <w:p>
      <w:r>
        <w:t>Comme le retient à juste titre le Tribunal, les enquêtes n'ont pas confirmé un tel allégué.</w:t>
      </w:r>
    </w:p>
    <w:p>
      <w:r>
        <w:t>Le témoin L______, architecte en charge du projet, a en effet déclaré que : "sur le plan technique, il était possible d'effectuer de tels travaux en maintenant les locataires en place, bien que naturellement un tel chantier implique des nuisances".</w:t>
      </w:r>
    </w:p>
    <w:p>
      <w:r>
        <w:t>Le témoin I______ a également admis qu'il : "[…] était théoriquement tout à fait possible d'effectuer de tels travaux de surélévation en maintenant les locataires en place".</w:t>
      </w:r>
    </w:p>
    <w:p>
      <w:r>
        <w:t>En outre, l'appelant, a admis que l'intimée était la seule locataire à avoir vu son bail résilié, ce qui signifie implicitement que la présence de l'intimée dans les locaux n'est en soi pas de nature à compliquer les travaux.</w:t>
      </w:r>
    </w:p>
    <w:p>
      <w:r>
        <w:t>L'appelant tente de prouver le contraire en produisant un rapport d'intervention de la société D______ du 20 décembre 2016 (pièce 40), lequel avait pour objectif d'informer la régie au sujet des installations de chauffage, ventilation et climatisation (CVC) situées en toiture de l'immeuble et duquel il ressort que le monobloc installé sur le toit traiterait les bureaux loués par l'intimée.</w:t>
      </w:r>
    </w:p>
    <w:p>
      <w:r>
        <w:t>Cette pièce ne permet pas de comprendre en quoi la présence de climatiseurs de l'intimée sur le toit et la présence de l'intimée dans les locaux engendreraient un accroissement des difficultés, du coût et de la durée des travaux.</w:t>
      </w:r>
    </w:p>
    <w:p>
      <w:r>
        <w:t>Le fait que l'intimée ait à plusieurs reprises communiqué ses craintes quant à la possibilité pratique d'exercer son activité durant l'exécution des travaux projetés - lesquels pourraient compromettre son activité - et quant à la difficulté pour elle de trouver de nouveaux locaux, n'est pas de nature à remettre en cause l'argumentation des premiers juges.</w:t>
      </w:r>
    </w:p>
    <w:p>
      <w:r>
        <w:t>En effet, bien qu'il était légitime que l'appelant parte du principe que l'intimée éprouverait de grandes difficultés à rester dans les locaux en cas de réalisation des travaux projetés, c'est à bon droit que le Tribunal a retenu que le motif du congé n'était pas digne de protection puisque ce dernier consiste uniquement dans le fait</w:t>
      </w:r>
    </w:p>
    <w:p>
      <w:r>
        <w:t>- 18/19 -</w:t>
      </w:r>
    </w:p>
    <w:p>
      <w:r>
        <w:t>C/15947/2015 que l'activité spécifique exercée par l'intimée serait incompatible avec les nuisances inhérentes aux travaux envisagés.</w:t>
      </w:r>
    </w:p>
    <w:p>
      <w:r>
        <w:t>En procédant de la sorte, l'appelant s'est donc effectivement substitué à l'intimée pour décider à sa place si elle pouvait ou non continuer à exercer son activité dans les locaux loués pendant les travaux prévus.</w:t>
      </w:r>
    </w:p>
    <w:p>
      <w:r>
        <w:t>Le Tribunal ne s'est ainsi pas livré à une constatation et appréciation inexacte des faits et des preuves afin d'annuler le congé, comme le reproche l'appelant dans son premier grief.</w:t>
      </w:r>
    </w:p>
    <w:p>
      <w:r>
        <w:t>Le premier grief de l'appelant est ainsi infondé.</w:t>
      </w:r>
    </w:p>
    <w:p>
      <w:r>
        <w:rPr>
          <w:b/>
        </w:rPr>
        <w:t>E. 3.3</w:t>
      </w:r>
    </w:p>
    <w:p>
      <w:r>
        <w:t>L'appelant fait également grief aux premiers juges d'avoir considéré qu'il n'avait pas fourni de renseignements suffisamment précis quant à ses intentions de mener à bien ou non son projet de surélévation, laissant ainsi l'intimée dans l'idée qu'une solution serait trouvée et qu'elle n'avait pas à craindre un congé, de sorte qu'elle n'avait pas eu la possibilité de proposer au bailleur d'évacuer provisoirement les locaux.</w:t>
      </w:r>
    </w:p>
    <w:p>
      <w:r>
        <w:t>Ce grief se réfère à la motivation subsidiaire que le Tribunal développe au considérant 5.5, selon laquelle le Tribunal fédéral considère que les règles de la bonne foi exigent du bailleur qu'il donne l'occasion au locataire de lui proposer, avant la réception du congé, d'évacuer les locaux pendant la durée des travaux puis de les réintégrer après leur exécution. L'appelant se réfère aux arrêts du Tribunal fédéral 4A_126/2012 du 3 août 2012 et 4A_619/2014 du 25 juin 2015.</w:t>
      </w:r>
    </w:p>
    <w:p>
      <w:r>
        <w:t>Il n'est pas nécessaire d'examiner ladite motivation subsidiaire, dès lors que le congé est contraire aux règles de la bonne foi, pour les raisons développées ci- dessus sous considérant 3.2.</w:t>
      </w:r>
    </w:p>
    <w:p>
      <w:r>
        <w:rPr>
          <w:b/>
        </w:rPr>
        <w:t>E. 3.4</w:t>
      </w:r>
    </w:p>
    <w:p>
      <w:r>
        <w:t>Enfin, l'appelant reproche aux premiers juges d'avoir omis de constater que l'intimée n'a pas demandé la motivation du congé, ce qu'elle était en droit de faire en vertu de l'art. 271 al. 2 CO, démontrant ainsi qu'elle était parfaitement au fait des motifs et de la nature de la situation. Au vu des explications susmentionnées, ce grief est infondé dans la mesure où il n'est pas pertinent pour la solution du litige.</w:t>
      </w:r>
    </w:p>
    <w:p>
      <w:r>
        <w:rPr>
          <w:b/>
        </w:rPr>
        <w:t>E. 4</w:t>
      </w:r>
    </w:p>
    <w:p>
      <w:r>
        <w:t>En définitive, le jugement entrepris sera confirmé. Il est ainsi superflu d'examiner les griefs soulevés par l'intimée.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- 19/19 -</w:t>
      </w:r>
    </w:p>
    <w:p>
      <w:r>
        <w:t>C/15947/2015 * * * * * PAR CES MOTIFS, La Chambre des baux et loyers : A la forme : Déclare recevable l'appel interjeté le 17 février 2017 par A______ contre le jugement JTBL/27/2017 rendu le 12 janvier 2017 par le Tribunal des baux et loyers dans la cause C/15947/2015. Au fond : Confirme le jugement.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