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ACJC/373/2017 vom 4. April 2016</w:t>
      </w:r>
    </w:p>
    <w:p>
      <w:r>
        <w:t>GE Cour de justice, 2016-04-04, FR</w:t>
      </w:r>
    </w:p>
    <w:p>
      <w:r>
        <w:rPr>
          <w:b/>
        </w:rPr>
        <w:t xml:space="preserve">Quelle: </w:t>
      </w:r>
      <w:r>
        <w:t>https://mcp.opencaselaw.ch/entscheid/ge_gerichte_ACJC_373_2017</w:t>
      </w:r>
    </w:p>
    <w:p>
      <w:r>
        <w:t>FR: GE_GERICHTE ACJC/373/2017 du 4 avril 2016</w:t>
      </w:r>
    </w:p>
    <w:p>
      <w:r>
        <w:t>IT: GE_GERICHTE ACJC/373/2017 del 4 aprile 2016</w:t>
      </w:r>
    </w:p>
    <w:p>
      <w:pPr>
        <w:pStyle w:val="Heading2"/>
      </w:pPr>
      <w:r>
        <w:t>Erwägungen</w:t>
      </w:r>
    </w:p>
    <w:p>
      <w:r>
        <w:rPr>
          <w:b/>
        </w:rPr>
        <w:t>E. 4</w:t>
      </w:r>
    </w:p>
    <w:p>
      <w:r>
        <w:t>L'appelante reproche en substance au Tribunal d'avoir considéré que son activité n'était pas en lien de causalité avec la vente de la parcelle à V______ SA et allègue que celle-ci était la "nommée" de O______, dont elle avait personnellement soumis l'offre à B______. Elle considère en outre que le Tribunal a retenu à tort que O______ ne disposait pas de la somme de 9'000'000 fr. pour l'acquisition du terrain et que l'offre de O______ était caduque, ce dernier point étant par ailleurs dépourvu de toute pertinence puisque l'offre de O______ avait abouti à la conclusion du contrat de vente, signé par sa "nommée".</w:t>
      </w:r>
    </w:p>
    <w:p>
      <w:r>
        <w:rPr>
          <w:b/>
        </w:rPr>
        <w:t>E. 4.1</w:t>
      </w:r>
    </w:p>
    <w:p>
      <w:r>
        <w:t>A teneur de l'art. 413 al. 1 CO, le courtier a droit à son salaire dès que l'indication qu'il a donnée ou que la négociation qu'il a conduite aboutit à la conclusion du contrat principal. La nature aléatoire de la rémunération du courtier étant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puisque la ratio legis de cette disposition est de rémunérer le succès du courtier (arrêt du Tribunal fédéral 4C.278/2004 du 29 décembre 2004, consid. 2.3 et les références; ACJC/1271/ 2011 consid. 3.3.1; MARQUIS, Le contrat de courtage immobilier et le salaire du courtier, thèse Lausanne 1992, p. 322). Il incombe au courtier de prouver le rapport de causalité entre son activité et la conclusion du contrat principal par le mandant et le tiers. Le courtier bénéficie toutefois d'une présomption de fait en ce sens que s'il a réellement accompli des efforts objectivement propres à favoriser la conclusion du contrat, on peut admettre, si le contraire ne ressort pas des circonstances, que ces efforts ont effec- tivement entraîné cette conséquence (ATF 72 II 84 consid. 2 ; 57 II 187 consid. 3; arrêt du Tribunal fédéral 4A_269/2016 du 2 septembre 2016 consid. 5). Il n'est pas nécessaire que la conclusion du contrat principal soit la conséquence immédiate de l'activité fournie. Il suffit que celle-ci ait été une cause même éloignée de la décision du tiers satisfaisant à l'objectif du mandant; en d'autres</w:t>
      </w:r>
    </w:p>
    <w:p>
      <w:r>
        <w:t>- 24/28 -</w:t>
      </w:r>
    </w:p>
    <w:p>
      <w:r>
        <w:t>C/26320/2012 termes, la jurisprudence se contente d'un lien psychologique entre les efforts du courtier et la décision du tiers, lien qui peut subsister en dépit d'une rupture des pourparlers (ATF 84 II 542 consid. 5 p. 548/549; arrêt du Tribunal fédéral 4A_269/2016 précité). La condition suspensive de l'article 413 alinéa 1 CO n'est défaillante que si l'activité du courtier n'a abouti à aucun résultat, que les pourparlers consécutifs à cette activité ont été définitivement rompus et que l'affaire est finalement conclue, avec le tiers qu'il avait présenté, sur des bases toutes nouvelles (arrêt du Tribunal fédéral 4C.259/2005, publié in SJ 2006 I 216 consid. 2). 4.2.1 En l'espèce, il ressort de la procédure que le 16 mars 2009 O______, représentée par P______, a remis à A______ une offre conditionnelle d'achat de la parcelle en cause au prix de 9'000'000 fr., en précisant qu'elle était faite en son nom ou en celui de sa "nommée" et qu'elle était valable pour une durée de cinq mois, l'offre ayant été prolongée par la suite. Il est établi que l'appelante a œuvré afin d'obtenir l'accès aux pistes de l'aéroport de E______, condition posée par O______ pour acquérir le terrain. Cet obstacle ayant été levé, l'appelante a présenté l'offre de O______ à l'intimée le 21 octobre 2009, tout en précisant que l'acquéreur final serait une nouvelle société, en voie de constitution sous la forme d'une SICAV, qui se substituerait à O______. A la fin de l'année 2009, cette dernière a désiré reporter la date d'acquisition du terrain, puis a annulé le rendez- vous fixé au 26 mars 2010 pour la signature du contrat de vente en raison du fait qu'elle n'était pas parvenue à réunir les fonds suffisants pour financer l'acquisition du terrain. P______ a indiqué, lors de son audition devant le Tribunal, que lorsqu'il avait articulé l'offre d'achat du 16 mars 2009, il n'avait pas encore d'investisseurs pour son projet. Ainsi et contrairement à ce qu'a soutenu l'appelante, O______ n'a jamais disposé des fonds nécessaires à l'achat du terrain en cause, raison pour laquelle elle a finalement dû y renoncer. Dans cette mesure, il est exact de retenir que l'offre présentée par O______ est devenue caduque, faute de moyens financiers. 4.2.2 C'est finalement la société V______ SA qui a acquis la parcelle (sous déduction d'une portion directement vendue à un éleveur - il y sera revenu ci- après-). Il convient dès lors de déterminer s'il existe un lien entre cette vente et l'activité déployée par l'appelante ou si V______ SA doit être considérée comme la "nommée" de O______. V______ SA a été fondée le 4 février 2011. Ses administrateurs étaient AB______ et X______ et ses actionnaires AC______, ainsi que les sociétés AD______ (propriété de Z______), AE______ HOLDING (propriété de AA______) et AF______ SA (propriété de Y______). Il est établi sur la base des témoignages des personnes concernées et non contesté par l'appelante que cette dernière n'a eu aucun contact ni avec les administrateurs, ni avec les actionnaires</w:t>
      </w:r>
    </w:p>
    <w:p>
      <w:r>
        <w:t>- 25/28 -</w:t>
      </w:r>
    </w:p>
    <w:p>
      <w:r>
        <w:t>C/26320/2012 de V______ SA avant la conclusion du contrat de vente. Plus précisément, les deux administrateurs ont déclaré n'avoir appris l'existence de l'appelante que deux mois après la signature dudit contrat. L'appelante n'a par conséquent pas présenté V______ SA à B______ et à l'administration de la masse en faillite de la succession de C______ et elle n'a joué aucun rôle dans la décision des animateurs de cette société de procéder à l'achat du terrain sis à proximité de l'aéroport de E______. L'appelante soutient toutefois que V______ SA était la "nommée" de O______. Pour que l'on puisse considérer que tel était le cas, l'appelante aurait dû démontrer l'existence d'un lien entre ces deux entités, en relation avec ses organes ou son actionnariat, ce qu'elle n'a pas été en mesure de faire. Lors de son audition par le Tribunal, P______ a en effet expliqué que l'introduction d'une "nommée" au moment où il avait présenté son offre d'achat pour le compte de O______ avait pour but de permettre la désignation de l'une des sociétés de ce même groupe, car O______ n'aurait pas pu procéder directement à l'acquisition du terrain. Le contrat aurait par conséquent dû être conclu au nom de U______ Sàrl ou d'une autre société de sa holding. Il ressort par conséquent de ces déclarations que le terme de "nommée" devait désigner une société faisant partie du groupe O______ appartenant à P______, ce qui n'était pas le cas de V______ SA, qui n'avait ni les mêmes organes, ni les mêmes actionnaires et qui a été fondée, dans les circonstances décrites ci-dessus, près de deux ans après la formulation de l'offre d'achat initiale par O______. Comme l'a expliqué X______ lors de son audition, il avait été convenu que P______ reste à l'écart de V______ SA. AB______ et X______ ont certes rédigé, le 11 mai 2011, une attestation aux termes de laquelle V______ SA (devenue AI______ SA) était la "nommée" de O______. La Cour relève toutefois que ladite attestation a été rédigée à la demande de l'appelante et que AB______ a précisé, lors de son audition, qu'il fallait entendre par le terme "nommée" le fait que V______ SA avait repris et réalisé le projet conçu par O______. La première société ne s'était toutefois jamais sentie comme un "substitut" de la seconde. L'appelante ne saurait dès lors se fonder sur les termes figurant dans l'attestation du 11 mai 2011, contraires aux éléments factuels du dossier, pour conforter sa théorie. Il résulte au contraire de la procédure que V______ SA était une entité clairement distincte de O______, dont les organes et les actionnaires n'étaient pas identiques, de sorte qu'elle ne peut être considérée comme la "nommée" de cette dernière. En particulier, P______, animateur de O______, n'avait aucun pouvoir de décision au sein de V______ SA, les actionnaires de celle-ci souhaitant au contraire qu'il reste à l'écart, dans la mesure où ils entendaient conserver la maîtrise totale du projet. L'appelante se prévaut du fait que V______ SA a repris à son compte le projet de développement du terrain conçu par P______, projet auquel elle avait participé, notamment en contribuant à l'obtention du droit d'accès aux pistes de l'aéroport. L'appelante perd toutefois de vue le fait que son droit à la rémunération dépendait</w:t>
      </w:r>
    </w:p>
    <w:p>
      <w:r>
        <w:t>- 26/28 -</w:t>
      </w:r>
    </w:p>
    <w:p>
      <w:r>
        <w:t>C/26320/2012 exclusivement du fait que le terrain en cause soit vendu par son intermédiaire, ce qui n'a pas été le cas pour les raisons déjà exposées ci-dessus. Au demeurant, il y a lieu de relever, comme l'a fait à juste titre le Tribunal, qu'il n'existait aucun lien juridique entre la vente du projet et la vente de la parcelle, aucun élément ne permettant de soutenir que la masse en faillite se serait engagée à vendre le terrain exclusivement à l'entité qui aurait racheté le projet. Par ailleurs, le projet de O______ ne contenait pas un droit transmissible à pouvoir accéder aux pistes de l'aéroport, V______ SA étant intervenue auprès de M______ afin d'obtenir la confirmation du fait que les autorisations d'accès aux pistes seraient maintenues en sa faveur, aux mêmes conditions que celles accordées à O______. L'appelante ne saurait donc raisonnablement soutenir qu'elle aurait droit à une "success fee" pour la seule raison que la vente du terrain a eu lieu simultanément à la vente du projet de O______ à V______ SA. 4.2.3 Un autre motif s'oppose au versement de la commission de 700'000 fr. à l'appelante. L'accord entre les parties prévoyait en effet que ce montant serait dû à A______ en cas de vente de la parcelle n° 1______ par son intermédiaire au prix minimum de 9'000'000 fr. Or, alors que O______ avait manifesté l'intention d'acquérir l'intégralité de la parcelle pour la somme de 9'000'000 fr., V______ SA n'a pour sa part acquis, après division de la parcelle n° 1______, que la partie située en zone d'intérêt général B, pour la somme de 8'780'000 fr., le solde, situé en zone agricole, ayant été vendu directement à un éleveur pour la somme de 220'000 fr. L'appelante n'a ni établi, ni même allégué, avoir joué le moindre rôle actif auprès de l'éleveur ayant acquis le terrain situé en zone agricole, de sorte qu'il ne saurait être considéré que celui-ci a été vendu par son intermédiaire. Dès lors et même en admettant que V______ SA était la "nommée" de O______, elle n'a, au final, acquis qu'une partie du terrain pour une somme inférieure à 9'000'000 fr., de sorte que les conditions pour que l'appelante ait le droit de réclamer la commission de 700'000 fr. ne seraient, quoiqu'il en soit, pas remplies. 4.2.4 Il n'est enfin pas possible de soutenir, sur la base du dossier, que V______ SA n'était en réalité qu'une société écran, derrière laquelle P______ continuait d'agir. Il résulte au contraire des déclarations tant de celui-ci que des organes de V______ SA que cette dernière était un véhicule d'investissement indépendant, P______ n'ayant, en son sein, aucun pouvoir de décision. Il n'avait pu continuer à s'occuper du projet, contre rémunération et par le biais de U______ Sàrl, que grâce à l'intervention de W______ et au fait que AC______ s'était montré correct en continuant de faire appel à lui. Ce n'est que par la suite, en 2013 et grâce aux commissions perçues suite à la vente des places de stationnement créées dans le hangar, que P______ a pu racheter la majorité du capital-actions de V______ SA, X______ ayant précisé qu'il avait été convenu que l'investissement de AC______ soit remboursé, avec un bénéfice. Le déroulement des faits exclut par conséquent toute manœuvre abusive.</w:t>
      </w:r>
    </w:p>
    <w:p>
      <w:r>
        <w:t>- 27/28 -</w:t>
      </w:r>
    </w:p>
    <w:p>
      <w:r>
        <w:t>C/26320/2012</w:t>
      </w:r>
    </w:p>
    <w:p>
      <w:r>
        <w:rPr>
          <w:b/>
        </w:rPr>
        <w:t>E. 4.3</w:t>
      </w:r>
    </w:p>
    <w:p>
      <w:r>
        <w:t>Au vu de ce qui précède, le jugement attaqué sera confirmé.</w:t>
      </w:r>
    </w:p>
    <w:p>
      <w:r>
        <w:rPr>
          <w:b/>
        </w:rPr>
        <w:t>E. 5</w:t>
      </w:r>
    </w:p>
    <w:p>
      <w:r>
        <w:t>L'appelante conclut à ce que l'intimée et "son conseil, Me T______", soient condamnés à une amende disciplinaire pour téméraire plaideur, l'intimée ayant, selon elle, usé de mauvaise foi et plaidé systématiquement contre les pièces du dossier.</w:t>
      </w:r>
    </w:p>
    <w:p>
      <w:r>
        <w:rPr>
          <w:b/>
        </w:rPr>
        <w:t>E. 5.1</w:t>
      </w:r>
    </w:p>
    <w:p>
      <w:r>
        <w:t>La partie ou son représentant qui usent de mauvaise foi ou de procédés téméraires sont punis d'une amende disciplinaire de 2'000 fr. au plus; l'amende est de 5'000 fr. au plus en cas de récidive (art. 128 al. 3 CPC).</w:t>
      </w:r>
    </w:p>
    <w:p>
      <w:r>
        <w:rPr>
          <w:b/>
        </w:rPr>
        <w:t>E. 5.2</w:t>
      </w:r>
    </w:p>
    <w:p>
      <w:r>
        <w:t>En l'espèce, les éléments au dossier ne permettent pas de retenir que l'intimée aurait adopté une attitude procédurale téméraire ou contraire à la bonne foi ni qu'elle aurait fourni au juge des informations fausses. Il ressort en outre clairement de la procédure, ce qui a manifestement échappé à l'appelante, que B______ a agi en personne, sans être assistée d'un conseil, T______, qui la représentait lors des audiences, assumant la fonction de directeur adjoint en son sein. Le prononcé d'une amende disciplinaire ne se justifie donc pas.</w:t>
      </w:r>
    </w:p>
    <w:p>
      <w:r>
        <w:rPr>
          <w:b/>
        </w:rPr>
        <w:t>E. 6</w:t>
      </w:r>
    </w:p>
    <w:p>
      <w:r>
        <w:t>Les frais judiciaires d'appel seront arrêtés à 28'000 fr. (art. 5, 17 et 35 RTFMC), mis à la charge de l'appelante, qui succombe (art. 106 al. 1 CPC) et compensés avec l'avance de même montant versée par l'appelante (art. 111 al. 1 CPC), qui reste acquise à l'Etat. Les dépens d'appel, arrêtés à 15'000 fr., frais et TVA compris, compte tenu du caractère prolixe des écritures de l'appelante (art. 20, 25 et 26 al. 1 LaCC; art. 25 al. 1 LTVA; art. 5, 84, 85 et 90 RTFMC; art. 95 al. 3 let c. CPC), seront également mis à la charge de cette dernière. * * * * *</w:t>
      </w:r>
    </w:p>
    <w:p>
      <w:r>
        <w:t>- 28/28 -</w:t>
      </w:r>
    </w:p>
    <w:p>
      <w:r>
        <w:t>C/26320/2012 PAR CES MOTIFS, La Chambre civile : A la forme : Déclare recevable l'appel interjeté le 29 avril 2016 par A______ contre le jugement JTPI/4304/2016 rendu le 4 avril 2016 par le Tribunal de première instance dans la cause C/26320/2012-4. Au fond : Confirme ce jugement. Déboute les parties de toutes autres conclusions. Sur les frais : Arrête les frais judiciaire d'appel à 28'000 fr., les met à la charge de A______ et les compense avec l'avance du même montant versée par celle-ci, qui reste acquise à l'Etat de Genève. Condamne A______ à verser la somme de 15'000 fr. à B______ SA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