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ACJC/373/2014 vom 24. März 2014</w:t>
      </w:r>
    </w:p>
    <w:p>
      <w:r>
        <w:t>GE Cour de justice, 2014-03-24, FR</w:t>
      </w:r>
    </w:p>
    <w:p>
      <w:r>
        <w:rPr>
          <w:b/>
        </w:rPr>
        <w:t xml:space="preserve">Quelle: </w:t>
      </w:r>
      <w:r>
        <w:t>https://mcp.opencaselaw.ch/entscheid/ge_gerichte_ACJC_373_2014</w:t>
      </w:r>
    </w:p>
    <w:p>
      <w:r>
        <w:t>FR: GE_GERICHTE ACJC/373/2014 du 24 mars 2014</w:t>
      </w:r>
    </w:p>
    <w:p>
      <w:r>
        <w:t>IT: GE_GERICHTE ACJC/373/2014 del 24 marzo 2014</w:t>
      </w:r>
    </w:p>
    <w:p>
      <w:pPr>
        <w:pStyle w:val="Heading2"/>
      </w:pPr>
      <w:r>
        <w:t>Regeste</w:t>
      </w:r>
    </w:p>
    <w:p>
      <w:r>
        <w:t>Résumé: EXÉCUTION - CONTRAINTE DIRECTE Les mesures de contrainte directe prévues par l'article 343 al. 1 let. d et e CPC revêtent dans la règle un caractère subsidiaire. Ainsi, le juge n'ordonnera en principe l'exécution par la force publique que si la contrainte indirecte n'a pas produit d'effet ou semble d'emblée vouée à l'échec ou lorsque l'intérêt du créancier à une exécution rapide du jugement le nécessite.</w:t>
      </w:r>
    </w:p>
    <w:p>
      <w:pPr>
        <w:pStyle w:val="Heading2"/>
      </w:pPr>
      <w:r>
        <w:t>Volltext</w:t>
      </w:r>
    </w:p>
    <w:p>
      <w:r>
        <w:t>Résumé: EXÉCUTION - CONTRAINTE DIRECTE Les mesures de contrainte directe prévues par l'article 343 al. 1 let. d et e CPC revêtent dans la règle un caractère subsidiaire. Ainsi, le juge n'ordonnera en principe l'exécution par la force publique que si la contrainte indirecte n'a pas produit d'effet ou semble d'emblée vouée à l'échec ou lorsque l'intérêt du créancier à une exécution rapide du jugement le nécessite.</w:t>
      </w:r>
    </w:p>
    <w:p>
      <w:r>
        <w:t>Descripteurs: Descripteurs: BAIL À LOYER ; ÉVACUATION(EN GÉNÉRAL) ; EXÉCUTION(PROCÉDURE)</w:t>
      </w:r>
    </w:p>
    <w:p>
      <w:r>
        <w:t>Normes: Normes: CPC.343.al.1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