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ACJC/369/2014 vom 30. Mai 2013</w:t>
      </w:r>
    </w:p>
    <w:p>
      <w:r>
        <w:t>GE Cour de justice, 2013-05-30, FR</w:t>
      </w:r>
    </w:p>
    <w:p>
      <w:r>
        <w:rPr>
          <w:b/>
        </w:rPr>
        <w:t xml:space="preserve">Quelle: </w:t>
      </w:r>
      <w:r>
        <w:t>https://mcp.opencaselaw.ch/entscheid/ge_gerichte_ACJC_369_2014</w:t>
      </w:r>
    </w:p>
    <w:p>
      <w:r>
        <w:t>FR: GE_GERICHTE ACJC/369/2014 du 30 mai 2013</w:t>
      </w:r>
    </w:p>
    <w:p>
      <w:r>
        <w:t>IT: GE_GERICHTE ACJC/369/2014 del 30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- 8/12 -</w:t>
      </w:r>
    </w:p>
    <w:p>
      <w:r>
        <w:t>C/5665/2012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charges comprises, des locaux, parkings et box litigieux, s'élève à fr. 60'900 fr. En prenant en compte la période de 3 ans, la valeur litigieuse est largement supé- rieure à 10'000 fr. (60'900 fr. x 3 ans = 182'700 fr.). La voie de l'appel est ainsi ou- 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t>- 9/12 -</w:t>
      </w:r>
    </w:p>
    <w:p>
      <w:r>
        <w:t>C/5665/2012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5A_402/2011du</w:t>
      </w:r>
    </w:p>
    <w:p>
      <w:r>
        <w:rPr>
          <w:b/>
        </w:rPr>
        <w:t>E. 2.2</w:t>
      </w:r>
    </w:p>
    <w:p>
      <w:r>
        <w:t>En l'espèce, les pièces produites par l'intimé sont antérieures à la mise en déli- bération de la cause devant les premiers juges. Il n'indique pas pour quel motif il aurait été empêché de les produire devant le Tribunal des baux et loyers. Ces piè- ces seront par conséquent déclarées irrecevables. En revanche, la pièce versée à la procédure par l'appelante le 13 septembre 2013 est recevable car elle a été établie le 12 septembre 2013 et a été immédiatement produite, avant que la cause ne soit mise en délibération. 3. 3.1 L'appelante sollicite une mesure d'instruction complémentaire, à savoir la tenue d'une audience de comparution personnelle des parties. 3.2 L'instance d'appel peut librement décider d'administrer des preuves (art. 316 al. 3 CPC) - parmi lesquelles figure l'interrogatoire des parties (art. 191 ss CPC) – notamment lorsqu'elle estime opportun de renouveler leur administration, de pro- céder à l'administration d'un moyen nouveau ou d'instruire à raison de conclusions et/ou de faits nouveaux (ATF 138 III 374 consid. 4.3.1; arrêt du Tribunal fédéral 4A_229/2012 du 19 juillet 2012 consid. 4; JEANDIN, op. cit., n. 5 ad art. 316 CPC). 3.3 En l'espèce, les parties ont déjà eu, à plusieurs reprises, l'occasion d'exposer leur position devant l'autorité précédente, tant oralement que par écrit, ainsi que devant la Chambre de céans dans leurs écritures d'appel et de réponse respectives. En outre, l'appelante n'expose pas les raisons pour lesquelles la tenue d'une au- dience de comparution personnelle permettrait d'apporter des éléments suscepti- bles d'influer sur le sort de la cause. Partant, il ne sera pas donné suite à sa con- clusion tendant à la tenue d'une telle audience. La cause est ainsi en état d'être jugée.</w:t>
      </w:r>
    </w:p>
    <w:p>
      <w:r>
        <w:t>- 10/12 -</w:t>
      </w:r>
    </w:p>
    <w:p>
      <w:r>
        <w:t>C/5665/2012 4. 4.1 Selon l'art. 257d al. 1 CO, lorsque le locataire d'un bail d'habitation ou de lo- 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 4.2 En l'espèce, l'appelante a respecté les prescriptions de l'article 257d CO, en particulier elle a versé à la procédure les pièces attestant de ce qu'elle a valable- ment notifié les courriers de mises en demeure et de résiliation dont elle se pré- vaut. L'intimé ne conteste pas ne pas s'être acquitté de l'intégralité de la somme récla- mée dans le délai comminatoire. Il fait valoir toutefois avoir valablement com- pensé ladite somme avec ses prétentions en réduction de loyer et en paiement de dommages-intérêts, ainsi qu'en raison de l'exception d'inexécution. 4.3 A teneur de l'art. 120 al. 1 CO, lorsque deux personnes sont débitrices l'une envers l'autre de sommes d'argent ou d'autres prestations de même espèce, cha- cune des parties peut compenser sa dette avec sa créance, si les deux dettes sont exigibles. Selon l'art. 124 al. 1 CO, la compensation n'a lieu qu'autant que le débiteur fait connaître au créancier son intention de l'invoquer. Cette déclaration a pour consé- quence que les deux dettes sont réputées éteintes jusqu'à concurrence du montant de la plus faible (art. 124 al. 2 CO). A cette fin, le locataire doit informer l'autre partie de manière non équivoque, de préférence par écrit et sous pli recommandé, de sa décision d'invoquer la compen- sation. La déclaration de compensation est une manifestation unilatérale de vo- lonté, sujette à réception. Il appartient à celui qui se prévaut de compensation de prouver qu'il l'a invoquée valablement. La déclaration du locataire doit exprimer clairement sa volonté de procéder à la compensation, et permettre au bailleur de comprendre quelles sont la créance compensée et la créance compensante, et quel est le montant de cette dernière. A défaut la compensation est dépourvue d'effets (LACHAT, Le bail à loyer, 2008, p. 315, n. 3.6 et p 71 et 72, et les références ci- tées). Le locataire en demeure peut invoquer la compensation pour empêcher le congé extraordinaire de l'art. 257d CO, mais la déclaration de compensation doit inter- venir dans le délai comminatoire fixé sur la base de l'art. 257d CO. Des auteurs ont étudié plus généralement l'éventuelle incidence de l’art. 124 al. 2 CO sur les délais de grâce prévus par le Code des obligations (art. 107 al. 2 CO, 265a CO et 293a CO). Ils sont arrivés à la conclusion que si le créancier a résilié le contrat à cause de la demeure du débiteur, l'art. 124 al. 2 CO ne peut faire "revivre" le con- trat et que, par conséquent, pour être efficace, la compensation doit être invoquée</w:t>
      </w:r>
    </w:p>
    <w:p>
      <w:r>
        <w:t>- 11/12 -</w:t>
      </w:r>
    </w:p>
    <w:p>
      <w:r>
        <w:t>C/5665/2012 dans le délai de grâce (arrêt du Tribunal fédéral 4C.212/2006 du 28 septembre 2006 consid. 3.1; ATF 119 II 241, consid. 6 bb et les références citées). L'art. 120 al. 2 CO signifie que le débiteur peut compenser sa prestation même si celle-ci n'est pas "liquide", à savoir non contestée ou n'est pas déterminée avec certitude dans son principe et son montant (JEANDIN, Commentaire Romand, Code des obligations I, n. 18 ad art. 120 CO; TERCIER, Le droit des obligations, 4ème éd. 2009, p. 312 n. 1534). En d'autres termes, la créance compensante permet l'exercice de l'exception même si elle est contestée en l'un de ses éléments. Toute- fois, l'effet compensatoire ne se produit que si la contestation est levée par le juge (arrêt du Tribunal fédéral 5P.245/1992 du 16 novembre 1992 consid. 2; AEPLI, Commentaire zurichois, 1991, n. 148 ad art. 120 CO; TERCIER, ibidem; ATF 136 III 624 consid. 4.2.3). 4.4 Dans le cas d'espèce, l'appelante a, par pli du 6 février 2012, mis en demeure l'intimé de lui verser 5'315 fr. à titre d'arriéré de loyer du mois de février 2012 pour l'arcade, le box n° 27 et les parkings nos 1 à 3 et 7, d'ici au 7 mars 2012. Le</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10</w:t>
      </w:r>
    </w:p>
    <w:p>
      <w:r>
        <w:t>février 2012, soit dans le délai comminatoire, l'intimé a expressément déclaré compenser les loyers, dès le 1er janvier 2012, avec le dommage subi en raison de la présence des panneaux de bois entourant le restaurant, rendant l'exploitation de celui-ci impossible. En particulier, il a requis l'octroi d'une réduction de loyer de 100% dès le 22 décembre 2011 et le paiement de 238'669 fr. à titre de dommages- intérêts. L'appelante pouvait comprendre, lors de la déclaration de compensation, que l'intimé entendait opposer sa propre créance, laquelle est supérieure à la som- me requise par l'appelante. Contrairement à ce que soutient l'appelante, la créance invoquée par l'intimé ne doit pas être constatée par un jugement ou par une reconnaissance de dette, dès lors qu'elle n'a pas besoin d'être "liquide". Par ailleurs, la créance, bien que contes- tée par l'appelante, peut être exercée en compensation. L'appelant a clairement compris que l'intimé excipait de compensation avec sa créance en réduction totale du loyer et en paiement de dommages-intérêts. Dès lors que l'intimé a valablement excipé de compensation, il n'était pas en demeure de régler les loyers, de sorte que les congés notifiés par l'appelante le 9 mars 2012 pour le 30 avril 2012 sont inefficaces. Le jugement entrepris ne prête ainsi pas le flanc à la critique et sera confirmé, par substitution de motifs, et l'appelante déboutée de ses conclusions. 5.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- 12/12 -</w:t>
      </w:r>
    </w:p>
    <w:p>
      <w:r>
        <w:t>C/5665/2012</w:t>
      </w:r>
    </w:p>
    <w:p>
      <w:r>
        <w:t>PAR CES MOTIFS, La Chambre des baux et loyers : A la forme : Déclare recevable l'appel interjeté le 3 juillet 2013 par A______ contre le jugement JTBL/584/2013 rendu le 30 mai 2013 par le Tribunal des baux et loyers dans la cause C/5665/2012-2-OSB. Déclare irrecevables les pièces nouvelles produites par B______ le 9 septembre 2013. Déclare recevables les pièces nouvelles versées par A______ le 13 septembre 2013. Au fond : Confirme ce jugement. Dit que la procédure est gratuite. Déboute les parties de toutes autres conclusions. Siégeant : Madame Nathalie LANDRY-BARTHE, présidente; Madame Daniela CHIABUDINI et Madame Alix FRANCOTTE CONUS, juges; Monsieur Alain MAUNOIR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