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ACJC/367/2025 vom 14. Februar 2025</w:t>
      </w:r>
    </w:p>
    <w:p>
      <w:r>
        <w:t>GE Cour de justice, 2025-02-14, FR</w:t>
      </w:r>
    </w:p>
    <w:p>
      <w:r>
        <w:rPr>
          <w:b/>
        </w:rPr>
        <w:t xml:space="preserve">Quelle: </w:t>
      </w:r>
      <w:r>
        <w:t>https://mcp.opencaselaw.ch/entscheid/ge_gerichte_ACJC_367_2025</w:t>
      </w:r>
    </w:p>
    <w:p>
      <w:r>
        <w:t>FR: GE_GERICHTE ACJC/367/2025 du 14 février 2025</w:t>
      </w:r>
    </w:p>
    <w:p>
      <w:r>
        <w:t>IT: GE_GERICHTE ACJC/367/2025 del 14 febbraio 2025</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En matière de séquestre, la procédure sommaire est applicable (art. 251 let. a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1.3</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 qu'une autre solution serait envisageable, voire préférable (ATF 136 III 552 consid. 4.2; arrêt du Tribunal fédéral 4A_48/2023 du 22 mars 2023 consid. 2.2).</w:t>
      </w:r>
    </w:p>
    <w:p>
      <w:r>
        <w:rPr>
          <w:b/>
        </w:rPr>
        <w:t>E. 1.5</w:t>
      </w:r>
    </w:p>
    <w:p>
      <w:r>
        <w:t>La procédure de séquestre est soumise dans toutes ses phases à la maxime de disposition et à la maxime des débats (art. 58 al. 2 CPC; art. 255 CPC a contrario).</w:t>
      </w:r>
    </w:p>
    <w:p>
      <w:r>
        <w:t>- 5/8 -</w:t>
      </w:r>
    </w:p>
    <w:p>
      <w:r>
        <w:t>C/3567/2025</w:t>
      </w:r>
    </w:p>
    <w:p>
      <w:r>
        <w:rPr>
          <w:b/>
        </w:rPr>
        <w:t>E. 2</w:t>
      </w:r>
    </w:p>
    <w:p>
      <w:r>
        <w:t>La recourante invoque qu'il était insoutenable de considérer, comme l'avait fait le Tribunal, qu'elle n'avait pas rendu vraisemblable que B______ détiendrait une créance à l'encontre de son conseil, sauf à exiger de sa part une probatio diabolica et, à consacrer à tout le moins une violation du degré de preuve applicable, limité à la simple vraisemblance des faits.</w:t>
      </w:r>
    </w:p>
    <w:p>
      <w:r>
        <w:rPr>
          <w:b/>
        </w:rPr>
        <w:t>E. 2.1.1</w:t>
      </w:r>
    </w:p>
    <w:p>
      <w:r>
        <w:t>Le séquestre est une mesure conservatoire urgente, qui a pour but d'éviter que le débiteur ne dispose de ses biens pour les soustraire à la poursuite pendante ou future de son créancier (ATF 116 III 111 consid. 3a; 107 III 33 consid. 2).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arrêts du Tribunal fédéral 5A_877/2011 du 5 mars 2012 consid. 2.1; 5A_870/2010 du 15 mars 2011 consid. 3.2). Le point de savoir si le degré de vraisemblance requis par le droit fédéral est atteint dans le cas particulier ressortit à l'appréciation des preuves (ATF 138 III 232 consid. 4.1.1; 130 III 321 consid. 5 et les références). Le juge du séquestre procède à un examen sommaire du bien-fondé juridique, c'est-à-dire un examen qui n'est ni définitif, ni complet, au terme duquel il rend une décision provisoire (ATF 138 III 232 consid. 4.1.1).</w:t>
      </w:r>
    </w:p>
    <w:p>
      <w:r>
        <w:rPr>
          <w:b/>
        </w:rPr>
        <w:t>E. 2.1.2</w:t>
      </w:r>
    </w:p>
    <w:p>
      <w:r>
        <w:t>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L'art. 271 al. 1 LP envisage plusieurs cas de séquestre. Il dispose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(ch. 4). Conformément à l'art. 271 al. 1 LP, un séquestre ne peut frapper que les "biens du débiteur".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w:t>
      </w:r>
    </w:p>
    <w:p>
      <w:r>
        <w:t>- 6/8 -</w:t>
      </w:r>
    </w:p>
    <w:p>
      <w:r>
        <w:t>C/3567/2025 5A_876/2015 du 22 avril 2016 consid. 4.2; 5A_873/2010 du 3 mai 2011 consid. 4.2.2; 5A_654/2010 du 24 novembre 2011 consid. 7.3.1).</w:t>
      </w:r>
    </w:p>
    <w:p>
      <w:r>
        <w:rPr>
          <w:b/>
        </w:rPr>
        <w:t>E. 2.2</w:t>
      </w:r>
    </w:p>
    <w:p>
      <w:r>
        <w:t>En l'espèce, seule est litigieuse la question du séquestre d'une créance de B______ en mains de son conseil, Me C______. La recourante soutient à cet égard qu'il est hautement vraisemblable que les sommes qu'elle a payées à l'Office des poursuites ont été remises à Me C______ qui avait été mandaté pour défendre les intérêts de B______ et que ledit conseil détenait ainsi de l'argent pour le compte de son client, relevant que la LP prévoit que les sommes payées auprès de l'Office doivent remises au créancier poursuivant dans un délai de trois jours. Cela étant, la recourante a effectué ses paiements à l'Office des poursuites en novembre 2023 et en mars 2024. Dès lors si les sommes payées ont été transférées à l'avocat de B______, elles lui ont été versées il y a plusieurs mois. Il n'est donc pas vraisemblable, vu l'écoulement du temps, que ledit avocat dispose encore des montants qu'il aurait reçus pour le compte de son client et qu'il devait lui restituer, conformément à ses obligations de mandataire (cf. art. 400 al. 1 CO), la recourante n'alléguant aucun motif permettant de rendre vraisemblable qu'il aurait pu conserver un montant total de plus de 400'000 fr. La recourante soutient par ailleurs qu'il est d'usage que les avocats réclament une provision à leur client, de sorte qu'il était très vraisemblable que B______ en avait versé une à son avocat pour la préparation de la réponse à sa demande en répétition de l'indu. Il était donc insoutenable de considérer, comme l'avait fait le Tribunal, qu'elle n'avait pas rendu vraisemblable que B______ détiendrait une créance à l'encontre de son conseil. A cet égard, la recourante allègue, vraisemblablement à raison, qu'il est d'usage qu'un avocat réclame une provision à son client. Elle n'a en revanche allégué aucun élément permettant de retenir, ne serait-ce que sous l'angle de la simple vraisemblance, que, dans le cas d'espèce, cet usage aurait été respecté Les relations entre B______ et son avocat et leurs arrangements ne sont pas connus et l'avocat pouvait renoncer pour des motifs qui lui sont propres à solliciter une provision. En l'absence de toute allégation à cet égard, la recourante n'a donc pas rendu suffisamment vraisemblable le versement d'une provision dans le cas particulier. La recourante avait, en tout état de cause, indiqué dans sa requête de séquestre que tant que Me C______ n'avait pas effectué les prestations lui donnant droit à des honoraires, B______ disposait d'une créance à son encontre. Or, l'avocat disposait d'un délai au 17 février 2025 pour déposer sa réponse à la demande. Au jour du dépôt du recours, soit le 28 février 2025, ce délai était ainsi échu et l'avocat avait donc vraisemblablement déposé la réponse de B______ à la demande de la recourante. L'avocat ayant effectué sa prestation, B______ ne disposerait donc vraisemblablement plus d'une créance à l'encontre de son conseil</w:t>
      </w:r>
    </w:p>
    <w:p>
      <w:r>
        <w:t>- 7/8 -</w:t>
      </w:r>
    </w:p>
    <w:p>
      <w:r>
        <w:t>C/3567/2025 en lien avec l'avance qu'il aurait versée, étant relevé que les allégations de la recourante ne permettent pas de savoir quelle aurait été l'étendue de la provision qui aurait été demandée et quelle activité elle était destinée à couvrir. Au vu de ce qui précède, le Tribunal pouvait retenir sans arbitraire qu'il n'était pas vraisemblable que le conseil de B______ détenait de l'argent pour le compte de son client. Le recours n'est pas fondé, de sorte qu'il sera rejeté.</w:t>
      </w:r>
    </w:p>
    <w:p>
      <w:r>
        <w:rPr>
          <w:b/>
        </w:rPr>
        <w:t>E. 3</w:t>
      </w:r>
    </w:p>
    <w:p>
      <w:r>
        <w:t>La recourante, qui succombe, sera condamnée aux frais judiciaires du recours, arrêtés à 1'125 fr. et compensés avec l'avance fournie, qui reste acquise à l'État de Genève. * * * * *</w:t>
      </w:r>
    </w:p>
    <w:p>
      <w:r>
        <w:t>- 8/8 -</w:t>
      </w:r>
    </w:p>
    <w:p>
      <w:r>
        <w:t>C/3567/2025 PAR CES MOTIFS, La Chambre civile : A la forme : Déclare recevable le recours interjeté le 28 février 2025 par A______ SA contre l'ordonnance SQ/364/2025 rendue le 14 février 2025 par le Tribunal de première instance dans la cause C/3567/2025–13 SQP. Au fond : Rejette ce recours. Déboute A______ SA de toutes autres conclusions. Sur les frais : Arrête les frais judiciaires de recours à 1'125 fr., les met à la charge de A______ SA et dit qu’ils sont compensés avec l'avance fournie, laquelle reste acquise à l'État de Genève.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