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ACJC/367/2018 vom 10. August 2017</w:t>
      </w:r>
    </w:p>
    <w:p>
      <w:r>
        <w:t>GE Cour de justice, 2017-08-10, FR</w:t>
      </w:r>
    </w:p>
    <w:p>
      <w:r>
        <w:rPr>
          <w:b/>
        </w:rPr>
        <w:t xml:space="preserve">Quelle: </w:t>
      </w:r>
      <w:r>
        <w:t>https://mcp.opencaselaw.ch/entscheid/ge_gerichte_ACJC_367_2018</w:t>
      </w:r>
    </w:p>
    <w:p>
      <w:r>
        <w:t>FR: GE_GERICHTE ACJC/367/2018 du 10 août 2017</w:t>
      </w:r>
    </w:p>
    <w:p>
      <w:r>
        <w:t>IT: GE_GERICHTE ACJC/367/2018 del 10 agosto 2017</w:t>
      </w:r>
    </w:p>
    <w:p>
      <w:pPr>
        <w:pStyle w:val="Heading2"/>
      </w:pPr>
      <w:r>
        <w:t>Erwägungen</w:t>
      </w:r>
    </w:p>
    <w:p>
      <w:r>
        <w:rPr>
          <w:b/>
        </w:rPr>
        <w:t>E. 1.1</w:t>
      </w:r>
    </w:p>
    <w:p>
      <w:r>
        <w:t>La Cour de justice est compétente ratione materiae pour se prononcer sur les requêtes d'adoption (art. 120 al. 1 let. c LOJ).</w:t>
      </w:r>
    </w:p>
    <w:p>
      <w:r>
        <w:rPr>
          <w:b/>
        </w:rPr>
        <w:t>E. 1.2</w:t>
      </w:r>
    </w:p>
    <w:p>
      <w:r>
        <w:t>Le requérant possède les nationalités grecque et australienne. Quant à B______, il est de nationalité bulgare. La cause présente par conséquent des éléments d’extranéité. Dans la mesure où il s’agit d'une demande d'adoption concernant un majeur, la Convention de La Haye de 1993 sur la protection des enfants et la coopération en matière d'adoption internationale (CLaH93) ne s'applique pas.</w:t>
      </w:r>
    </w:p>
    <w:p>
      <w:r>
        <w:t>- 4/6 -</w:t>
      </w:r>
    </w:p>
    <w:p>
      <w:r>
        <w:t>C/18879/2017 Selon l'art. 75 al. 1 de la Loi fédérale sur le droit international privé (LDIP), sont compétentes pour prononcer l'adoption les autorités judiciaires ou administratives suisses du domicile de l'adoptant. Ce dernier étant domicilié à Genève, la Cour est compétente ratione loci pour connaître de la requête qui lui a été soumise. Le droit suisse est applicable (art. 77 LDIP).</w:t>
      </w:r>
    </w:p>
    <w:p>
      <w:r>
        <w:rPr>
          <w:b/>
        </w:rPr>
        <w:t>E. 2.1</w:t>
      </w:r>
    </w:p>
    <w:p>
      <w:r>
        <w:t>Selon l'art. 266 al. 1 CC, dans sa nouvelle teneur selon le ch. I de la LF du 17 juin 2016, en vigueur depuis le 1er janvier 2018, applicable aux procédures pendantes au moment de l’entrée en vigueur de la modification (art. 12b Titre final du CC),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Au surplus, les dispositions sur l’adoption de mineurs s’appliquent par analogie, à l’exception de celle sur le consentement des parents (art. 266 al. 2 CC). Une personne peut adopter l’enfant de son conjoint. Le couple doit faire ménage commun depuis au moins trois ans (art. 264c al. 1 ch. 1 et al. 2 CC). La différence d’âge entre l’enfant et le ou les adoptants ne peut pas être inférieure à seize ans, ni supérieure à 45 ans (art. 264d al. 1 CC). Si l’enfant est capable de discernement, son consentement à l’adoption est requis (art. 265 al. 1 CC). Avant l’adoption d’une personne majeure, l’opinion des personnes suivantes doit en outre être prise en considération : conjoint ou partenaire enregistré de la personne qui fait l’objet de la demande d’adoption, parents biologiques de la personne qui fait l’objet de la demande d’adoption et descendants de la personne qui fait l’objet de la demande d’adoption, pour autant que leur âge ou d’autres justes motifs ne s’y opposent pas (art. 268a quater al. 2 CC).</w:t>
      </w:r>
    </w:p>
    <w:p>
      <w:r>
        <w:rPr>
          <w:b/>
        </w:rPr>
        <w:t>E. 2.2</w:t>
      </w:r>
    </w:p>
    <w:p>
      <w:r>
        <w:t>En l’espèce, le requérant a fourni des soins et a pourvu à l’éducation de B______ à tout le moins depuis qu’il a commencé à faire ménage commun avec sa mère, soit depuis 2003. En dépit du fait que de 2004 à 2012 le requérant et B______ n’ont pas fait ménage commun, les contacts ont continué d’être fréquents et réguliers, ce qui a permis de maintenir vivant le lien qui s’était créé entre eux. Depuis son arrivée en Suisse en 2012, B______ a vécu de manière ininterrompue sous le même toit que les époux A______/D______, le requérant ayant assumé ses frais courants. Les conditions posées par le nouvel article 266 al. 1 ch. 2 CC sont par conséquent réunies.</w:t>
      </w:r>
    </w:p>
    <w:p>
      <w:r>
        <w:t>- 5/6 -</w:t>
      </w:r>
    </w:p>
    <w:p>
      <w:r>
        <w:t>C/18879/2017 Il en va de même des autres conditions légales, à savoir la différence d’âge entre l’adoptant et l’adopté, la durée du ménage commun des époux A______/D______ et le consentement donné par B______ à son adoption. En principe et selon l’art. 268a quater al. 2 CC, l’opinion du père biologique de B______ aurait dû être sollicitée et prise en considération. Dans la mesure toutefois où ce dernier n’a plus entretenu de contacts avec son fils depuis le début des années 2000 et n’a pas subvenu à ses besoins, la Cour considère qu’il ne se justifie pas de recueillir son avis, lequel, même s’il était par hypothèse négatif, ne justifierait pas le rejet de la requête présentée par A______, qui s’inscrit dans la concrétisation, sur le plan juridique, d’un lien filial qui perdure depuis plus de quinze ans. Au vu de ce qui précède, il sera fait droit à la requête. Il sera précisé, dans le dispositif de la présente décision, que le lien de filiation avec la mère subsiste, dans la mesure où il s'agit de l'adoption d’un enfant du conjoint (art. 267 al. 3 ch. 1 CC).</w:t>
      </w:r>
    </w:p>
    <w:p>
      <w:r>
        <w:rPr>
          <w:b/>
        </w:rPr>
        <w:t>E. 3</w:t>
      </w:r>
    </w:p>
    <w:p>
      <w:r>
        <w:t>Les frais de la procédure, arrêtés à 1'120 fr., lesquels comprennent les frais d’interprète, sont mis à la charge du requérant. Ils sont partiellement compensés avec l'avance de 1'000 fr. versée par celui-ci, qui reste acquise à l'Etat de Genève (art. 98, 101 et 111 CPC; 19 al. 3 let. a LaCC). Le requérant sera par conséquent invité à verser à l’Etat de Genève, soit pour lui les Services financiers du Pouvoir judiciaire, la somme de 120 fr. à titre de solde de frais. * * * * *</w:t>
      </w:r>
    </w:p>
    <w:p>
      <w:r>
        <w:t>- 6/6 -</w:t>
      </w:r>
    </w:p>
    <w:p>
      <w:r>
        <w:t>C/18879/2017 PAR CES MOTIFS, La Chambre civile : Prononce l’adoption de B______, né le ______ 1991, de nationalité bulgare, par A______, né le ______ 1965, de nationalité australienne et grecque. Prescrit que le lien de filiation entre B______ et sa mère, D______, née [D______] le ______ 1962, n'est pas supprimé. Arrête les frais judiciaires de la procédure à 1'120 fr., les met à la charge de A______ et les compense partiellement avec l’avance de 1'000 fr. versée, qui reste acquise à l’Etat de Genève. Invite A______ à verser à l’Etat de Genève, soit pour lui les Services financiers du Pouvoir judiciaire, la somme de 120 fr. à titre de solde de frais. L’y condamne en tant que de besoin. Siégeant : Monsieur Cédric-Laurent MICHEL, président; Mesdames Paola CAMPOMAGNANI et Jocelyne DEVILLE-CHAVANNE, juges; Madame Jessica QUINODOZ, greffière.</w:t>
      </w:r>
    </w:p>
    <w:p>
      <w:r>
        <w:t>Annexes pour l'état civil : Pièces déposées par le requérant.</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