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ACJC/366/2022 vom 6. September 2021</w:t>
      </w:r>
    </w:p>
    <w:p>
      <w:r>
        <w:t>GE Cour de justice, 2021-09-06, FR</w:t>
      </w:r>
    </w:p>
    <w:p>
      <w:r>
        <w:rPr>
          <w:b/>
        </w:rPr>
        <w:t xml:space="preserve">Quelle: </w:t>
      </w:r>
      <w:r>
        <w:t>https://mcp.opencaselaw.ch/entscheid/ge_gerichte_ACJC_366_2022</w:t>
      </w:r>
    </w:p>
    <w:p>
      <w:r>
        <w:t>FR: GE_GERICHTE ACJC/366/2022 du 6 septembre 2021</w:t>
      </w:r>
    </w:p>
    <w:p>
      <w:r>
        <w:t>IT: GE_GERICHTE ACJC/366/2022 del 6 settembre 2021</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(art. 170 CC) est de nature pécuniaire mais le demandeur est toutefois dispensé d'en chiffrer exactement la valeur litigieuse (arrêt du Tribunal fédéral 5A_918/2014 du 15 juin 2015 consid. 1). En l'espèce, la décision entreprise est une décision finale mettant fin au procès. Compte tenu de la nature et de l'étendue de la demande de renseignements en cause, ainsi que de l'importance alléguée du patrimoine de l'intimé, il faut admettre que le seuil de la valeur litigieuse minimale est atteint.</w:t>
      </w:r>
    </w:p>
    <w:p>
      <w:r>
        <w:t>- 7/15 -</w:t>
      </w:r>
    </w:p>
    <w:p>
      <w:r>
        <w:t>C/936/2021</w:t>
      </w:r>
    </w:p>
    <w:p>
      <w:r>
        <w:rPr>
          <w:b/>
        </w:rPr>
        <w:t>E. 1.2</w:t>
      </w:r>
    </w:p>
    <w:p>
      <w:r>
        <w:t>Formé dans le délai utile de dix jours (art. 142 al. 1 et 3 et 314 al. 1 CPC) et selon la forme prescrite (art. 130 et 131 CPC), l'appel est recevable.</w:t>
      </w:r>
    </w:p>
    <w:p>
      <w:r>
        <w:rPr>
          <w:b/>
        </w:rPr>
        <w:t>E. 1.3</w:t>
      </w:r>
    </w:p>
    <w:p>
      <w:r>
        <w:t>La Cour revoit la cause avec un plein pouvoir d'examen (art. 310 CPC). Lorsqu'elle est formée en tant que demande indépendante, la demande de renseignements fondée sur l'art. 170 al. 2 CC suit les règles de la procédure sommaire, sous réserve des articles 272 et 273 CPC (art. 271 let. d CPC; arrêt du Tribunal fédéral 5A_918/2014 du 17 juin 2015 consid. 4.2.1).</w:t>
      </w:r>
    </w:p>
    <w:p>
      <w:r>
        <w:rPr>
          <w:b/>
        </w:rPr>
        <w:t>E. 2</w:t>
      </w:r>
    </w:p>
    <w:p>
      <w:r>
        <w:t>novembre 2020, 7'000 euros le 9 décembre 2020, 15'000 euros le 9 décembre 2020, 5'000 euros le 12 janvier 2021, 50'000 euros le 25 janvier 2021, 50'000 euros le 26 janvier 2021, 50'000 euros le 27 janvier 2021, 25'000 euros le 1er février 2021, 50'000 euros le 3 février 2021, 40'000 euros le 23 février 2021, 10'0000 euros le 24 février 2021 et 8'000 euros le 25 février 2021. 2.2.2 L'appelante persiste à réclamer la production par l'intimé du contrat de construction/d'entreprise générale établir par l'entreprise générale G______ SA lors de l'acquisition et la construction de l'immeuble dont les parties sont copropriétaires. Elle fait valoir que son annexe, soit le cahier des charges faisant état de travaux exécutés et dûment contresigné par les parties, doit servir à la détermination des travaux entrepris, ainsi qu'à leurs coûts finaux, dans la liquidation du régime matrimonial. Il ne s'agit pas d'un document portant sur les revenus, la fortune ou les dettes de l'intimé et l'appelante était partie à ce contrat de sorte qu'il est douteux qu'elle puisse prétendre à la production de ce document sous couvert de l'art. 170 CC. A cela s'ajoute que l'appelante n'a pas rendu vraisemblable, et encore moins établi, que l'intimé serait en possession dudit document, soit qu'il l'aurait emporté lors de la séparation des parties. Par conséquent, l'appelante sera déboutée de ses conclusions demande de renseignement sur ce point.</w:t>
      </w:r>
    </w:p>
    <w:p>
      <w:r>
        <w:rPr>
          <w:b/>
        </w:rPr>
        <w:t>E. 3</w:t>
      </w:r>
    </w:p>
    <w:p>
      <w:r>
        <w:t>L'appelante reproche au Tribunal de l'avoir déboutée de sa conclusion en versement d'une provisio ad litem de 15'000 fr., pour la présente procédure et pour la procédure de divorce.</w:t>
      </w:r>
    </w:p>
    <w:p>
      <w:r>
        <w:t>- 10/15 -</w:t>
      </w:r>
    </w:p>
    <w:p>
      <w:r>
        <w:t>C/936/2021 3.1.1 La provisio ad litem a pour but de permettre à chaque conjoint de défendre correctement ses propres intérêts dans une procédure judiciaire, même de nature matrimoniale (arrêt du Tribunal fédéral 5A_808/2016 du 21 mars 2017 consid. 4.1). Selon le Tribunal fédéral, une provisio ad litem peut être accordée déjà au stade des mesures protectrices de l'union conjugale ou des mesures provisionnelles. Qu'elle découle de l'obligation d'entretien de l'art. 163 CC ou du devoir d'assistance de l'art. 159 al. 3 CC, la demande de provisio ad litem est une requête fondée sur le droit matériel qui doit être formée devant le juge compétent, qui peut être aussi bien le juge du divorce que celui des mesures protectrices de l'union conjugale puisque tant le devoir d'assistance entre époux que l'obligation d'entretien existent même lorsqu'aucune procédure de divorce n'est engagée (arrêt du Tribunal fédéral 5A_590/2019 du 13 février 2020 consid. 3.3). S'il est donc possible de demander une provision ad litem pour couvrir les frais de la procédure de mesures protectrices elle-même, en revanche le Tribunal fédéral n'a pas tranché de la possibilité de conclure à ce stade déjà au versement d’une provision ad litem destinée à couvrir les frais d’un futur procès en divorce et ce point est controversé en doctrine (TAPPY, CR-CPC, 2019, n. 36 ad art. 273 CPC).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 14 août 2020 consid. 3.2; 5A_590/2019 du 13 février 2020 consid. 3.3 et 3.5). 3.1.2 La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5A_590/2019 du 13 février 2020 consid. 3.3 et la jurisprudence citée).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w:t>
      </w:r>
    </w:p>
    <w:p>
      <w:r>
        <w:t>- 11/15 -</w:t>
      </w:r>
    </w:p>
    <w:p>
      <w:r>
        <w:t>C/936/2021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3.2.1 En l'espèce, dès lors que le devoir d'assistance entre époux existe encore entre les parties, puisque leur divorce n'a pas encore été prononcé, l'appelante est, sur le principe, en droit de prétendre au versement d'une provisio ad litem pour les frais se rapportant à la présente procédure en renseignements, pour autant qu'elle établisse qu'elle n'est pas en mesure de couvrir ses frais de procédure. En revanche, seul le juge du divorce sera en mesure de statuer sur une demande de provisio ad litem pour la procédure de divorce. En effet, lorsque l'appelante a déposé sa requête de provisio ad litem pour la procédure de divorce celle-ci n'était pas encore pendante et, même si celle-ci est désormais effective, seule la demande formée par l'intimé a été produite. Or, puisque le montant de la provisio ad litem, si elle est accordée dans son principe, dépend des frais prévisibles de l'action judiciaire entreprise, le premier juge, qui n'était saisi que d'une action en renseignements, ne disposait pas des informations nécessaires pour statuer puisqu'il ignorait l'ampleur du litige qui opposerait les parties dans le cadre du divorce. Par conséquent, il appartiendra à l'appelante de former une demande de provisio ad litem pour la procédure de divorce devant le juge saisi de cette cause.</w:t>
      </w:r>
    </w:p>
    <w:p>
      <w:r>
        <w:t>- 12/15 -</w:t>
      </w:r>
    </w:p>
    <w:p>
      <w:r>
        <w:t>C/936/2021 3.2.2 S'agissant de la présente procédure, les frais judiciaires de première instance ont été mis à concurrence de 250 fr. à la charge de l'appelante et les dépens ont été compensés, étant précisé que le jugement entrepris sera confirmé sur ces points (cf. infra 4.2.1), de sorte qu'il y a lieu d'examiner si l'épouse, qui a sollicité le versement d'une provisio ad litem devant le premier juge, disposait des moyens financiers suffisants pour assumer lesdits frais. Lorsqu'elle a déposé sa demande au mois de janvier 2021, l'appelante s'est limitée, s'agissant de sa situation financière, à renvoyer le Tribunal à la procédure sur mesures protectrices de l'union conjugale qui s'est terminée par l'arrêt de la Cour de justice du 20 août 2019. Dès lors que plus d'une année et demi s'était écoulée, l'appelante se devait d'établir sa situation financière actuelle en détaillant quels étaient ses revenus et ses charges. En outre, la somme totale de près de 9'000 fr. qu'elle détenait sur des comptes bancaires au 12 janvier 2021 – étant relevé que l'appelante étant copropriétaire de son logement, son compte "épargne logement" consiste dans une épargne personnelle et non une garantie de loyer – était suffisante pour couvrir les frais de la procédure, arrêtés à 500 fr. par le premier juge et mis pour moitié à la charge de l'appelante (250 fr.), ainsi que ses frais d'avocat, les dépens ayant été compensés, étant relevé que la procédure de première instance a donné lieu à un échange d'écriture et deux audiences, dont une très brève. A cela s'ajoute que l'appelante bénéficie depuis août 2019 d'une contribution d'entretien de 5'600 fr. dont 1'900 fr. en sus de la couverture de son minimum vital, de sorte que si la somme de 9'000 fr. ne devait pas suffire à couvrir totalement ses frais d'avocat pour la présente procédure, l'appelante pourrait prélever quelques centaines de francs chaque mois sur la contribution d'entretien qui lui est versée par l'intimé pour combler la différence, sans qu'il soit porté atteinte à son entretien courant. Par conséquent, l'appelante n'a pas prouvé ne pas être en mesure de s'acquitter des frais de procédure relatifs à la présente procédure de renseignement.</w:t>
      </w:r>
    </w:p>
    <w:p>
      <w:r>
        <w:rPr>
          <w:b/>
        </w:rPr>
        <w:t>E. 3.3</w:t>
      </w:r>
    </w:p>
    <w:p>
      <w:r>
        <w:t>Le jugement sera ainsi confirmé, par substitution de motifs, en tant qu'il déboute l'appelante de ses conclusions en versement d'une provisio ad litem.</w:t>
      </w:r>
    </w:p>
    <w:p>
      <w:r>
        <w:rPr>
          <w:b/>
        </w:rPr>
        <w:t>E. 4.1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première instance (art. 318 al. 3 CPC). 4.2.1 En l'espèce, ni la quotité ni la répartition des frais judiciaires et dépens de première instance n'ont été valablement remises en cause en appel et celles-ci ont</w:t>
      </w:r>
    </w:p>
    <w:p>
      <w:r>
        <w:t>- 13/15 -</w:t>
      </w:r>
    </w:p>
    <w:p>
      <w:r>
        <w:t>C/936/2021 été arrêtés conformément aux règles légales (art. 31 RTFMC). Compte tenu de la nature familiale du litige, la modification du jugement attaqué ne justifie pas que la répartition des frais soit revue. Par conséquent, le jugement entrepris sera confirmé sur ce point. 4.2.2 Les frais judiciaires de la procédure d'appel sont fixés à 800 fr. (art. 31 et 35 RTFMC). Compte tenu de l'issue de la procédure et de la nature familiale du litige, ils seront répartis à parts égales entre les parties, soit 400 fr. à charge de chacune (art. 107 al. 1 let. c CPC). Ils seront compensés avec l'avance de frais de 800 fr. fournie par l'appelante, qui reste acquise à l'Etat de Genève. L'intimé sera condamné à verser à l'appelante la somme de 400 fr. (art. 111 al. 1 et 2 CPC). Pour le même motif, chaque partie supportera ses propres dépens d'appel (art. 107 al. 1 let. c. CPC), étant relevé que la procédure d'appel n'a donné lieu qu'à un échange d'écriture, de sorte que la somme de 9'000 fr. dont disposait l'appelante lors du dépôt de la requête lui permettra, en sus des frais de première instance, de couvrir sa part des frais judiciaires d'appel (400 fr.) et ses honoraires d'avocat, dont elle n'a pas produit les factures. * * * * *</w:t>
      </w:r>
    </w:p>
    <w:p>
      <w:r>
        <w:t>- 14/15 -</w:t>
      </w:r>
    </w:p>
    <w:p>
      <w:r>
        <w:t>C/936/2021 PAR CES MOTIFS, La Chambre civile : A la forme : Déclare recevable l'appel interjeté le 27 septembre 2021 par A______ contre le jugement JTPI/11179/2021 rendu le 6 septembre 2021 par le Tribunal de première instance dans la cause C/936/2021. Au fond : Annule ledit jugement en tant qu'il déboute A______ de ses conclusions en renseignements sur l'usage qui a été fait par B______ du produit de la vente de l'immeuble sis 5______, finca n° 2______ et finca n° 3______, en Espagne. Condamne, en conséquence, B______ à produire les relevés des comptes bancaires ayant reçu les montants débités de son compte "ES*******4______" dont il est titulaire après de la banque K______ entre le 22 février 2019 et le 25 février 2021, soit 500 euros le 4 mars 2019, 500 euros le 23 avril 2019, 1'000 euros le 10 juin 2019, 4'546 euros le 4 novembre 2019, 5'000 euros le 9 décembre 2019, 5'000 euros le 13 janvier 2020, 5'000 euros le 14 janvier 2020, 15'000 euros le 20 mai 2020, 10'000 euros le 2 juillet 2020, 5'000 euros le 10 août 2020, 7'000 euros le 13 octobre 2020, 5'000 euros le 30 octobre 2020, 7'000 euros le 2 novembre 2020, 7'000 euros le</w:t>
      </w:r>
    </w:p>
    <w:p>
      <w:r>
        <w:rPr>
          <w:b/>
        </w:rPr>
        <w:t>E. 9</w:t>
      </w:r>
    </w:p>
    <w:p>
      <w:r>
        <w:t>décembre 2020, 15'000 euros le 9 décembre 2020, 5'000 euros le 12 janvier 2021, 50'000 euros le 25 janvier 2021, 50'000 euros le 26 janvier 2021, 50'000 euros le 27 janvier 2021, 25'000 euros le 1er février 2021, 50'000 euros le 3 février 2021, 40'000 euros le 23 février 2021, 10'0000 euros le 24 février 2021 et 8'000 euros le 25 février 2021. Confirme le jugement entrepris pour le surplus. Déboute les parties de toutes autres conclusions. Sur les frais : Arrête les frais judiciaires d'appel à 800 fr., dit qu'ils sont entièrement compensés avec l'avance fournie par A______, qui demeure acquise à l'Etat de Genève, et les met à la charge de chacune des parties pour moitié. Condamne B______ à verser 400 fr. à A______ à titre de frais judiciaires d'appel. Dit que chaque partie supporte ses propres dépens d'appel.</w:t>
      </w:r>
    </w:p>
    <w:p>
      <w:r>
        <w:t>- 15/15 -</w:t>
      </w:r>
    </w:p>
    <w:p>
      <w:r>
        <w:t>C/936/2021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