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ACJC/366/2015 vom 29. September 2014</w:t>
      </w:r>
    </w:p>
    <w:p>
      <w:r>
        <w:t>GE Cour de justice, 2014-09-29, FR</w:t>
      </w:r>
    </w:p>
    <w:p>
      <w:r>
        <w:rPr>
          <w:b/>
        </w:rPr>
        <w:t xml:space="preserve">Quelle: </w:t>
      </w:r>
      <w:r>
        <w:t>https://mcp.opencaselaw.ch/entscheid/ge_gerichte_ACJC_366_2015</w:t>
      </w:r>
    </w:p>
    <w:p>
      <w:r>
        <w:t>FR: GE_GERICHTE ACJC/366/2015 du 29 septembre 2014</w:t>
      </w:r>
    </w:p>
    <w:p>
      <w:r>
        <w:t>IT: GE_GERICHTE ACJC/366/2015 del 29 settembre 2014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février 2004 était valide et liait les parties.</w:t>
      </w:r>
    </w:p>
    <w:p>
      <w:r>
        <w:t>- 5/11 -</w:t>
      </w:r>
    </w:p>
    <w:p>
      <w:r>
        <w:t>C/7207/2012</w:t>
      </w:r>
    </w:p>
    <w:p>
      <w:r>
        <w:t>Dans le cadre de cette réplique, B______ a relevé que si, par impossible, le Tribunal retenait qu'il y avait litispendance, alors il se justifierait de suspendre la procédure jusqu'à ce que la Cour de cassation italienne statue sur le recours de A______, en application de l'art. 126 CPC.</w:t>
      </w:r>
    </w:p>
    <w:p>
      <w:r>
        <w:t>Par duplique du 28 avril 2014, A______ a persisté dans ses conclusions antérieures. EN DROIT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