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ACJC/365/2024 vom 6. Februar 2024</w:t>
      </w:r>
    </w:p>
    <w:p>
      <w:r>
        <w:t>GE Cour de justice, 2024-02-06, FR</w:t>
      </w:r>
    </w:p>
    <w:p>
      <w:r>
        <w:rPr>
          <w:b/>
        </w:rPr>
        <w:t xml:space="preserve">Quelle: </w:t>
      </w:r>
      <w:r>
        <w:t>https://mcp.opencaselaw.ch/entscheid/ge_gerichte_ACJC_365_2024</w:t>
      </w:r>
    </w:p>
    <w:p>
      <w:r>
        <w:t>FR: GE_GERICHTE ACJC/365/2024 du 6 février 2024</w:t>
      </w:r>
    </w:p>
    <w:p>
      <w:r>
        <w:t>IT: GE_GERICHTE ACJC/365/2024 del 6 febbraio 2024</w:t>
      </w:r>
    </w:p>
    <w:p>
      <w:pPr>
        <w:pStyle w:val="Heading2"/>
      </w:pPr>
      <w:r>
        <w:t>Erwägungen</w:t>
      </w:r>
    </w:p>
    <w:p>
      <w:r>
        <w:rPr>
          <w:b/>
        </w:rPr>
        <w:t>E. 1.1</w:t>
      </w:r>
    </w:p>
    <w:p>
      <w:r>
        <w:t>En matière de mainlevée d'opposition, seule la voie du recours est ouverte (art. 309 let. b ch. 3 et 319 let. a CPC). La décision doit être attaquée dans un délai de dix jours dès sa notification (art. 321 al. 2 CPC) par un recours écrit et motivé (art. 130 et 131 CPC), adressé à la Cour. 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2010, n. 2307).</w:t>
      </w:r>
    </w:p>
    <w:p>
      <w:r>
        <w:rPr>
          <w:b/>
        </w:rPr>
        <w:t>E. 1.3</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t>- 4/7 -</w:t>
      </w:r>
    </w:p>
    <w:p>
      <w:r>
        <w:t>C/18062/2023</w:t>
      </w:r>
    </w:p>
    <w:p>
      <w:r>
        <w:rPr>
          <w:b/>
        </w:rPr>
        <w:t>E. 2</w:t>
      </w:r>
    </w:p>
    <w:p>
      <w:r>
        <w:t>Le recourant reproche au Tribunal d'avoir violé l'art. 80 LP en ne prononçant pas la mainlevée définitive de l'opposition formée au commandement de payer, en retenant qu'il n'avait pas produit les décisions originales sur lesquelles se fondait la poursuite. 2.1.1 Aux termes de l'art. 80 al. 1 LP, le créancier qui est au bénéfice d'un jugement exécutoire peut requérir du juge la mainlevée définitive de l'opposition. Cette norme englobe tant les jugements suisses que les jugements étrangers (ATF 146 III 157 consid. 3; 139 III 135 consid. 4.5.1). Toute décision étrangère portant condamnation à payer une somme d'argent ou à constituer des sûretés (art. 38 al. 1 LP) et exécutable en Suisse selon une convention internationale ou, à défaut, selon la LDIP, constitue un titre de mainlevée définitive. Le juge ordonne la mainlevée définitive de l'opposition, à moins que l'opposant ne prouve par titre que la dette a été éteinte ou qu'il a obtenu un sursis, postérieurement au jugement, ou qu'il ne se prévale de la prescription (art. 81 al. 1 LP; ATF 144 III 360 consid. 3.2.1). Si le jugement a été rendu dans un autre Etat, l'opposant peut en outre faire valoir les moyens prévus par une convention liant cet Etat ou, à défaut d'une telle convention, prévus par la LDIP, à moins qu'un juge suisse n'ait déjà rendu une décision concernant ces moyens (art. 81 al. 3 LP; arrêts du Tribunal fédéral 5A_504/2023 du 8 novembre 2023 consid. 4.1; 5A_528/2022 du</w:t>
      </w:r>
    </w:p>
    <w:p>
      <w:r>
        <w:rPr>
          <w:b/>
        </w:rPr>
        <w:t>E. 2.2</w:t>
      </w:r>
    </w:p>
    <w:p>
      <w:r>
        <w:t>En l'occurrence, il n'est pas contesté que la CL est applicable. Il résulte par ailleurs de la procédure que le recourant a produit les originaux des décisions rendues par les autorités allemandes, lesquelles comportent un sceau apposé par le Tribunal attestant de leur caractère définitif et exécutoire, ce que l'intimé ne conteste pas. C'est dès lors à tort que le Tribunal a retenu que seules des photocopies desdites décisions avaient été versées. Ces décisions condamnent</w:t>
      </w:r>
    </w:p>
    <w:p>
      <w:r>
        <w:t>- 5/7 -</w:t>
      </w:r>
    </w:p>
    <w:p>
      <w:r>
        <w:t>C/18062/2023 l'intimée à verser divers montants au recourant, ce que cette dernière ne remet pas non plus en cause.</w:t>
      </w:r>
    </w:p>
    <w:p>
      <w:r>
        <w:rPr>
          <w:b/>
        </w:rPr>
        <w:t>E. 2.3</w:t>
      </w:r>
    </w:p>
    <w:p>
      <w:r>
        <w:t>Le recours est ainsi fondé. Le jugement sera en conséquence annulé et, la cause étant en état d'être jugée (art. 327 al. 3 let. b CPC), la mainlevée définitive de l'opposition sera prononcée. 3. 3.1 Lorsque l'instance de recours rend une nouvelle décision, elle se prononce sur les frais de première instance (art. 318 al. 3 CPC par analogie; JEANDIN, in Commentaire romand, Code de procédure civile, 2ème éd. 2019, n. 9 ad art. 327 CPC). En l'espèce, la quotité de l'émolument fixée par le premier juge à 200 fr., conformément à l'art. 48 OELP, n'est pas remise en cause, de sorte qu'elle sera confirmée. Dans la mesure où l'intimée succombe en première instance (art. 106 al. 1 CPC), ces frais seront mis à sa charge, compensés avec l'avance de frais fournie, acquise à l'Etat de Genève (art. 111 al. 1 CPC). Elle sera en conséquence condamnée à verser ce montant au recourant. Dès lors que le recours ne porte pas sur l'absence d'allocation de dépens, cette question ne sera pas revue. 3.2 Les frais judiciaires de recours seront arrêtés à 300 fr. (art. 48 et 61 OELP). Au vu de l'issue du litige, lesdits frais seront laissés à la charge de l'Etat de Genève (art. 107 al. 2 CPC). L'avance de frais sera dès lors restituée au recourant. Il ne sera pas alloué de dépens de recours. * * * * *</w:t>
      </w:r>
    </w:p>
    <w:p>
      <w:r>
        <w:t>- 6/7 -</w:t>
      </w:r>
    </w:p>
    <w:p>
      <w:r>
        <w:t>C/18062/2023 PAR CES MOTIFS, La Chambre civile : A la forme : Déclare recevable le recours interjeté le 19 février 2024 par A______ contre le jugement JTPI/1901/2024 rendu le 6 février 2024 par le Tribunal de première instance dans la cause C/18062/2023-22 SML. Au fond : Annule ce jugement. Cela fait et statuant à nouveau : Prononce la mainlevée définitive de l'opposition formée au commandement de payer, poursuite n° 2______. Sur les frais : Arrête les frais judiciaires de première instance à 200 fr., compensés avec l'avance de frais fournie, acquise à l'Etat de Genève, et les met à la charge de B______ SA. Condamne B______ SA à verser 200 fr. à A______. Dit qu'il n'est pas alloué de dépens de première instance. Arrête les frais judiciaires du recours à 300 fr. et les met à la charge de l'Etat de Genève. Invite les Services financiers du Pouvoir judiciaire à restituer la somme de 300 fr. à A______. Dit qu'il n'est pas alloué de dépens de recours. Siégeant : Madame Pauline ERARD, présidente; Madame Nathalie LANDRY-BARTHE et Monsieur Ivo BUETTI, juges; Madame Mélanie DE RESENDE PEREIRA, greffière. La présidente : Pauline ERARD</w:t>
      </w:r>
    </w:p>
    <w:p>
      <w:r>
        <w:t>La greffière : Mélanie DE RESENDE PEREIRA</w:t>
      </w:r>
    </w:p>
    <w:p>
      <w:r>
        <w:t>- 7/7 -</w:t>
      </w:r>
    </w:p>
    <w:p>
      <w:r>
        <w:t>C/18062/2023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février 2023 consid. 3.1 et les références). 2.1.2 La reconnaissance en Suisse des décisions rendues en Allemagne est régie par la CL. Selon l'art. 33 al. 1 CL, les décisions rendues dans un Etat lié par la Convention sont reconnues dans les autres Etats liés par la Convention, sans qu'il soit nécessaire de recourir à aucune procédure. L'art. 38 al. 1 CL prévoit que les décisions exécutoires dans un Etat lié par la Convention sont mises à exécution dans un autre Etat lié par la Convention après y avoir été déclarées exécutoires sur requête de toute partie intéressée. La partie qui invoque la reconnaissance d'une décision doit produire une expédition de celle-ci réunissant les conditions nécessaires à son authenticité ainsi que le certificat visé à l'art. 54 CL, dont le modèle figure à l'annexe V de la Convention (art. 53 CL).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