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ACJC/364/2026 vom 20. Februar 2026</w:t>
      </w:r>
    </w:p>
    <w:p>
      <w:r>
        <w:t>GE Cour de justice, 2026-02-20, FR</w:t>
      </w:r>
    </w:p>
    <w:p>
      <w:r>
        <w:rPr>
          <w:b/>
        </w:rPr>
        <w:t xml:space="preserve">Quelle: </w:t>
      </w:r>
      <w:r>
        <w:t>https://mcp.opencaselaw.ch/entscheid/ge_gerichte_ACJC_364_2026</w:t>
      </w:r>
    </w:p>
    <w:p>
      <w:r>
        <w:t>FR: GE_GERICHTE ACJC/364/2026 du 20 février 2026</w:t>
      </w:r>
    </w:p>
    <w:p>
      <w:r>
        <w:t>IT: GE_GERICHTE ACJC/364/2026 del 20 febbraio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 Il ne peut être déclaré irrecevable au motif que, comme le soutient l'intimée, le recourant n'a pas produit de déterminations écrites devant le Tribunal et a déposé des pièces lors de l'audience du 3 octobre 2025 puisque le Tribunal avait opté pour une procédure orale (cf. art. 253 CPC) et invité le recourant à déposer à cette occasion les pièces dont il entendait se prévaloir. Le recourant n'a donc pas "réservé l'intégralité de son argumentation" pour la procédure de recours, étant par ailleurs relevé que l'acte déposé ne comporte pas 40 pages, contrairement à ce que soutient l’intimée, mais 15 seulement et qu'il s'était déjà prévalu devant le Tribunal de la compensation.</w:t>
      </w:r>
    </w:p>
    <w:p>
      <w:r>
        <w:rPr>
          <w:b/>
        </w:rPr>
        <w:t>E. 1.3</w:t>
      </w:r>
    </w:p>
    <w:p>
      <w:r>
        <w:t>Les conclusions, les allégations de faits et les preuves nouvelles sont irrecevables (art. 326 al. 1 CPC). Les pièces produites par le recourant devant la Cour avaient déjà été produites devant le Tribunal. Tel est en particulier le cas de la demande en divorce du 15 octobre 2024. Elles sont donc, en elles-mêmes, recevables. Le recourant s'était toutefois référé "notamment" aux allégués 240ss, pp. 55-56 devant le Tribunal, selon ce qui figure sur le bordereau de pièces. Devant la Cour, il produit une pièce "3ter", à savoir un extrait de la demande en divorce précitée relatif aux allégués 282 à 289. Cette pièce n'est pas à proprement parler nouvelle puisque la demande en divorce avait été intégralement produite, mais les allégations y figurant le sont en revanche puisqu'il ne ressort pas de la procédure de première instance que le recourant s'en serait prévalu. Il ressort en effet du procès-verbal de l'audience du</w:t>
      </w:r>
    </w:p>
    <w:p>
      <w:r>
        <w:rPr>
          <w:b/>
        </w:rPr>
        <w:t>E. 1.4</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w:t>
      </w:r>
    </w:p>
    <w:p>
      <w:r>
        <w:rPr>
          <w:b/>
        </w:rPr>
        <w:t>E. 1.5</w:t>
      </w:r>
    </w:p>
    <w:p>
      <w:r>
        <w:t>La procédure sommaire étant applicable, la preuve des faits allégués doit être apportée par titres (art. 254 al. 1 CPC). Les maximes des débats et de disposition s'appliquent (art. 55 al. 1, 255 let. a a contrario et art. 58 al. 1 CPC). 2. Le recourant s'oppose à la mainlevée de l'opposition en invoquant la compensation. 2.1 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2.1.2 Conformément à l'art. 82 al. 2 LP, le poursuivi peut faire échec à la mainlevée provisoire de l'opposition en rendant immédiatement vraisemblable sa libération (ATF 132 III 140 consid. 4.1.2; arrêt du Tribunal fédéral 5A_905/2010 du 10 août 2011 consid. 2.1). Il peut se prévaloir de tous les moyens de droit civil – exceptions ou objections – qui infirment la reconnaissance de dette, notamment la compensation (ATF 131 III 268 consid. 3.2; 124 III 501 consid. 3b; 105 II 183 consid. 4a; arrêt du Tribunal fédéral 5A_905/2010 précité consid. 2.1).</w:t>
      </w:r>
    </w:p>
    <w:p>
      <w:r>
        <w:t>- 6/8 -</w:t>
      </w:r>
    </w:p>
    <w:p>
      <w:r>
        <w:t>C/9384/2025 A cet égard, il lui incombe de rendre vraisemblable l'existence, le montant et l'exigibilité de la créance compensante ainsi que le montant exact à concurrence duquel la dette serait éteinte (ATF 136 III 624 consid. 4.2.3; arrêt 5A_139/2018 du 25 juin 2019 consid. 2.6.1 publié in: BlSchK 2021 p. 271; STAEHELIN, in: Basler Kommentar, Bundesgesetz über Schuldbetreibung und Konkurs, 3ème éd., 2021, n° 93 ad art. 82 LP). Il ne peut pas se contenter d'alléguer l'existence d'une créance envers le poursuivant pour rendre vraisemblable cette prétention et opposer valablement l'objection de compensation; de simples affirmations ne sont pas suffisantes (arrêts du Tribunal fédéral 5D_52/2022 du 2 février 2023 consid. 2.2.2; 5A_139/2018 précité, consid. 2.6.2; 5A_83/2011 du 2 septembre 2011 consid. 6.1; VEUILLET/ABBET, La mainlevée de l'opposition, 2ème éd., 2022, n. 126 ad art. 82 LP). Les preuves produites par le débiteur poursuivi doivent rendre vraisemblable le fait libératoire (ATF 132 III 140 consid. 4.1.2).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145 III 213 consid. 6.1.3; 142 III 720 consid. 4.1; 132 III 140 consid. 4.1.2). 2.2. En l'espèce, le recourant soutient que l'intimée s'est unilatéralement approprié des actions de la société E______ LLC et qu'il détient à ce titre une créance à son encontre d'un montant minimum de 111'880 fr. Comme déjà indiqué, selon le procès-verbal de l'audience qui s'est tenue devant le Tribunal, le recourant a invoqué la compensation, mais le fondement de cette compensation n'est pas précisé puisqu'il a motivé cette compensation par un renvoi général aux "pièces 4 à 9" déposées. Le recourant ne produit en tout état de cause aucune pièce permettant de rendre vraisemblable que l'"appropriation" des actions de la société E______ LLC par l'intimée aurait été illégitime. A cet égard, même si la pièce 3ter avait été recevable, elle n'aurait été d'aucun secours au recourant. En effet, selon les allégués 282 ss de la demande en divorce, l'intimée est devenue titulaire des actions avec l'accord du recourant, ce qui exclut, à la suivre, que l'appropriation puisse être qualifiée d'illégitime et le recourant n'a produit pour sa part aucun élément permettant de rendre vraisemblable que tel ne serait pas le cas. Le recourant ne produit pas non plus de document permettant de rendre vraisemblable la valeur desdites actions. Il ne s'exprime enfin pas sur la question de l'exigibilité de la créance qu'il détiendrait à la suite de cette appropriation. Il convient au contraire de considérer que la question de ces actions est litigieuse dans le cadre de la procédure en divorce et que sa prétendue créance à cet égard n'est pas rendue vraisemblable.</w:t>
      </w:r>
    </w:p>
    <w:p>
      <w:r>
        <w:t>- 7/8 -</w:t>
      </w:r>
    </w:p>
    <w:p>
      <w:r>
        <w:t>C/9384/2025 Enfin, le recourant ne peut se prévaloir du fait que l'intimée aurait indument prélevé des sommes sur le compte de C______ SA puisque, si tel était le cas, seule cette dernière, et non le recourant, pourrait détenir une créance à cet égard à l'encontre de l'intimée. Au vu de ce qui précède, le recourant n'a pas rendu vraisemblable disposer d'une créance compensante à l'encontre de l'intimée. Le recours n'est pas fondé, de sorte qu'il sera rejeté.</w:t>
      </w:r>
    </w:p>
    <w:p>
      <w:r>
        <w:rPr>
          <w:b/>
        </w:rPr>
        <w:t>E. 3</w:t>
      </w:r>
    </w:p>
    <w:p>
      <w:r>
        <w:t>Le recourant, qui succombe, sera condamné aux frais du recours (art. 106 al. 1 CPC). Les frais judiciaires seront arrêtés à 800 fr. (art. 48 et 61 al. 1 OELP) et compensés avec l'avance versée par le recourant, laquelle reste acquise à l'Etat de Genève (art. 111 al. 1 CPC). Les dépens dus à l'intimée seront fixés à 750 fr., TVA et débours compris (art. 20, 23, 25 et 26 al. 1 LaCC; art. 85, 89 et 90 RTFMC). * * * * *</w:t>
      </w:r>
    </w:p>
    <w:p>
      <w:r>
        <w:t>- 8/8 -</w:t>
      </w:r>
    </w:p>
    <w:p>
      <w:r>
        <w:t>C/9384/2025 PAR CES MOTIFS, La Chambre civile : A la forme : Déclare recevable le recours interjeté par A______ contre le jugement JTPI/12758/2025 rendu le 3 octobre 2025 par le Tribunal de première instance dans la cause C/9384/2025–27 SML. Au fond : Rejette ce recours. Déboute les parties de toutes autres conclusions. Sur les frais : Met à la charge de A______ les frais judiciaires de recours, arrêtés à 800 fr. et compensés avec l'avance versée, acquise à l'Etat de Genève. Condamne A______ à verser 750 fr. à B______ à titre de dépens de recours Siégeant : Madame Fabienne GEISINGER-MARIETHOZ, présidente; Monsieur Laurent RIEBEN, Madame Nathalie RAPP, juges; Madame Laura SESSA, greffière. La présidente : Fabienne GEISINGER-MARIETHOZ</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