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ACJC/363/2025 vom 4. Juni 2024</w:t>
      </w:r>
    </w:p>
    <w:p>
      <w:r>
        <w:t>GE Cour de justice, 2024-06-04, FR</w:t>
      </w:r>
    </w:p>
    <w:p>
      <w:r>
        <w:rPr>
          <w:b/>
        </w:rPr>
        <w:t xml:space="preserve">Quelle: </w:t>
      </w:r>
      <w:r>
        <w:t>https://mcp.opencaselaw.ch/entscheid/ge_gerichte_ACJC_363_2025</w:t>
      </w:r>
    </w:p>
    <w:p>
      <w:r>
        <w:t>FR: GE_GERICHTE ACJC/363/2025 du 4 juin 2024</w:t>
      </w:r>
    </w:p>
    <w:p>
      <w:r>
        <w:t>IT: GE_GERICHTE ACJC/363/2025 del 4 giugno 2024</w:t>
      </w:r>
    </w:p>
    <w:p>
      <w:pPr>
        <w:pStyle w:val="Heading2"/>
      </w:pPr>
      <w:r>
        <w:t>Erwägungen</w:t>
      </w:r>
    </w:p>
    <w:p>
      <w:r>
        <w:rPr>
          <w:b/>
        </w:rPr>
        <w:t>E. 1.1</w:t>
      </w:r>
    </w:p>
    <w:p>
      <w:r>
        <w:t>L'appel est recevable pour avoir été interjeté auprès de l'autorité compétente (art. 120 al. 1 let. a LOJ), dans le délai utile de 30 jours (art. 142 al. 3 et 311 al. 1 CPC) et selon la forme prescrite par la loi (art. 130, 131 et 311 CPC), à l'encontre d'une décision finale (art. 308 al. 1 let. a CPC) statuant sur la contribution d'entretien d'une enfant mineure, soit une affaire de nature pécuniaire dont la valeur litigieuse, capitalisée selon l'art. 92 al. 2 CPC, est supérieure à 10'000 fr. (art. 308 al. 2 CPC).</w:t>
      </w:r>
    </w:p>
    <w:p>
      <w:r>
        <w:rPr>
          <w:b/>
        </w:rPr>
        <w:t>E. 1.2</w:t>
      </w:r>
    </w:p>
    <w:p>
      <w:r>
        <w:t>La Cour revoit la cause avec un plein pouvoir d'examen en fait et en droit (art. 310 CPC), dans la limite des griefs suffisamment motivés qui sont formulés (art. 311 al. 1 CPC; ATF 142 III 413 consid. 2.2.4).</w:t>
      </w:r>
    </w:p>
    <w:p>
      <w:r>
        <w:rPr>
          <w:b/>
        </w:rPr>
        <w:t>E. 1.3</w:t>
      </w:r>
    </w:p>
    <w:p>
      <w:r>
        <w:t>La maxime inquisitoire illimitée et la maxime d'office régissent les questions relatives aux enfants mineurs (art. 55 al. 2, 58 al. 2, 277 et 296 CPC), de sorte que la Cour n'est pas liée par les conclusions des parties ni par l'interdiction de la reformatio in pejus (ATF 138 III 374 consid. 4.3.1; arrêt du Tribunal fédéral 5A_757/2013 du 14 juillet 2014 consid. 2.1). La maxime inquisitoire ne dispense pas les parties de collaborer activement à la procédure et d'étayer leurs propres thèses. Il leur incombe de renseigner le juge sur les faits de la cause et de lui indiquer les moyens de preuve disponibles</w:t>
      </w:r>
    </w:p>
    <w:p>
      <w:r>
        <w:t>- 8/13 -</w:t>
      </w:r>
    </w:p>
    <w:p>
      <w:r>
        <w:t>C/13461/2022 (ATF 130 III 102 consid. 2.2; arrêt du Tribunal fédéral 5A_616/2021 du 7 novembre 2022 consid. 8.3).</w:t>
      </w:r>
    </w:p>
    <w:p>
      <w:r>
        <w:rPr>
          <w:b/>
        </w:rPr>
        <w:t>E. 2</w:t>
      </w:r>
    </w:p>
    <w:p>
      <w:r>
        <w:t>L'appelant fait grief au Tribunal de lui avoir imputé un revenu hypothétique et, sur cette base, de l'avoir débouté de ses conclusions en suppression de la pension alimentaire fixée par le jugement de divorce.</w:t>
      </w:r>
    </w:p>
    <w:p>
      <w:r>
        <w:rPr>
          <w:b/>
        </w:rPr>
        <w:t>E. 2.1.1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138 III 289 consid. 11.1.1; 131 III 189 consid. 2.7.4 et les références; arrêt du Tribunal fédéral 5A_230/2019 du 31 janvier 2020 consid. 6.1). Le caractère notable de la modification se détermine concrètement, en fonction de chaque cas particulier. Des comparaisons en pourcentages des revenus peuvent représenter un indice utile, mais ne dispensent pas le juge d'une analyse concrète du cas d'espèce. Ainsi, la modification d'un revenu de 10 à 15% peut se révéler suffisante lorsque la capacité économique des parties est restreinte, tandis qu'une modification de revenu de 15 à 20% est nécessaire lorsque la situation économique des parties est bonne (arrêts du Tribunal fédéral 5A_93/2011 du 13 septembre 2011 consid. 6.1; 5C.197/2003 du 30 avril 2004 consid. 3, spéc. 3.3; PICHONNAZ, Commentaire romand CC I, 2010, n. 33 ad art. 129 CC). La procédure de modification n'a pas pour but de corriger le premier jugement, mais de l'adapter aux circonstances nouvelles (ATF 137 III 604 consid. 4.1.1 et les références; arrêt du Tribunal fédéral 5A_230/2019 du 31 janvier 2020 consid. 6.1). Afin d'établir si on est en présence d'une situation qui s'est modifiée de manière durable et importante une comparaison doit être effectuée entre les constatations de fait et le pronostic effectués dans le jugement de divorce, d'une part, et les circonstances existant à la date du dépôt de la demande de modification du jugement de divorce, d'autre part.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w:t>
      </w:r>
    </w:p>
    <w:p>
      <w:r>
        <w:t>- 9/13 -</w:t>
      </w:r>
    </w:p>
    <w:p>
      <w:r>
        <w:t>C/13461/2022 en modification (ATF 120 II 285 consid. 4b; arrêts du Tribunal fédéral 5A_230/2019 du 31 janvier 2020 consid. 7; 5A_487/2010 du 3 mars 2011 consid. 2.1.1, 2.2 et 2.3).</w:t>
      </w:r>
    </w:p>
    <w:p>
      <w:r>
        <w:rPr>
          <w:b/>
        </w:rPr>
        <w:t>E. 2.1.2</w:t>
      </w:r>
    </w:p>
    <w:p>
      <w:r>
        <w:t>Il a été admis par la Cour, dès 1998 et constamment depuis lors, qu'un chauffeur de taxi travaillant normalement et sérieusement disposait de revenus nets d'au moins 3'500 fr. par mois, la moyenne se situant autour de 4'000 fr., montant qui doit être actualisé à 4'500 fr. en raison de l'augmentation des tarifs de taxis depuis lors. Depuis l'arrivée de I______ à Genève, les centrales de taxis n'ont rendu vraisemblables ni une perte d'abonnés ni une diminution des appels ou du chiffre d'affaires (ACJC/730/2024 du 5 juin 2024, consid. 3.1.3; ACJC/1124/2022 du 30 août 2022, consid. 2.1.2; ACJC/969/2022 du 15 juillet 2022, consid. 5.1.2; ACJC/1188/2018 du 31 août 2018 consid. 4.1.3; ACJC/313/2018 du 13 mars 2018 consid. 6.2.1). Selon les chiffres émanant du Secrétariat d'Etat à l'économie, le salaire mensuel brut pour un homme actif dans le transport dans la région lémanique s'élève entre 3'890 fr. et 4'850 fr, le salaire médian étant de 4'490 fr. (activité de transport terrestre, 40 heures de travail par semaine, sans formation professionnelle complète, sans fonction de cadre, sans année de services; https://entsendung.admin.ch/Lohnrechner/lohnberechnung). A teneur des statistiques officielles du canton de Genève, le salaire mensuel brut standardisé et médian réalisé en 2022 se montait à 6'683 fr. pour un homme actif dans le transport de personnes (OCSTAT; tableau T 03.04.1.01-2022).</w:t>
      </w:r>
    </w:p>
    <w:p>
      <w:r>
        <w:rPr>
          <w:b/>
        </w:rPr>
        <w:t>E. 2.1.3</w:t>
      </w:r>
    </w:p>
    <w:p>
      <w:r>
        <w:t>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il s'agit d'une question de droit. Il doit ensuite établir si cette personne a la possibilité effective d'exercer l'activité ainsi déterminée et quel revenu elle peut en obtenir, compte tenu des circonstances subjectives susmentionnées, ainsi que du marché du travail; il s'agit là d'une question de fait (ATF 147 III 308 consid. 4; 143 III 233 précité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5A_257/2023 précité consid. 7.2 et les références).</w:t>
      </w:r>
    </w:p>
    <w:p>
      <w:r>
        <w:rPr>
          <w:b/>
        </w:rPr>
        <w:t>E. 2.1.4</w:t>
      </w:r>
    </w:p>
    <w:p>
      <w:r>
        <w:t>Chaque partie doit, si la loi ne prescrit le contraire, prouver les faits qu’elle allègue pour en déduire son droit (art. 8 CC).</w:t>
      </w:r>
    </w:p>
    <w:p>
      <w:r>
        <w:t>- 10/13 -</w:t>
      </w:r>
    </w:p>
    <w:p>
      <w:r>
        <w:t>C/13461/2022</w:t>
      </w:r>
    </w:p>
    <w:p>
      <w:r>
        <w:rPr>
          <w:b/>
        </w:rPr>
        <w:t>E. 2.2</w:t>
      </w:r>
    </w:p>
    <w:p>
      <w:r>
        <w:t>En l'espèce, le Tribunal avait retenu dans son jugement JTPI/8757/2016 du 30 juin 2016 dont la modification est demandée qu'un revenu hypothétique net de 4'500 fr. pouvait être imputé à l'appelant. Ce dernier soutient qu'il a repris en juillet 2022 son activité de chauffeur de taxi, laquelle ne lui permettrait cependant pas de réaliser un tel revenu. Il convient dès lors de se demander si les circonstances se sont modifiées depuis 2016. Tout d'abord, il ressort du jugement dont la modification a été demandé que l'appelant avait allégué percevoir des revenus de 2'500 fr. et supporter des charges de 3'027 fr., alors qu'il soutient percevoir désormais des revenus de 2'267 fr. pour des charges de 2'885 fr., ce qui ne représente pas une modification notable des circonstances. Cela étant, la contribution d'entretien a été fixée sur la base d'un revenu hypothétique, de sorte qu'il convient de se demander si les circonstances se sont modifiées de telle sorte qu'un tel revenu ne pourrait plus être imputé à l'appelant. Il ressort des pièces produites par l'appelant qu'il n'a effectivement pas perçu un tel revenu. Aucun élément ne permet cependant de retenir que les considérations selon lesquelles un chauffeur de taxi serait en mesure d'obtenir les revenus sur lesquels le Tribunal s'était fondé en 2016 pour fixer les contributions d'entretien se seraient modifiées. L'appelant a déposé sa demande de modification du jugement de divorce avant même qu'il reprenne son activité de chauffeur de taxi, de sorte qu'il est difficile de savoir comment il pouvait affirmer qu'il ne serait pas en mesure de percevoir le montant de 4'500 fr. imputé à titre de revenu hypothétique en exerçant cette activité. L'appelant soutient qu'il ne serait en mesure de percevoir des revenus que de 2'267 fr., voire 2'850 fr. seulement en se fondant sur une enquête dont les résultats ont été publiés dans le magazine L'Illustré. Ce dernier montant correspond toutefois au salaire d'un chauffeur de taxi zurichois, et non genevois et les bases sur lesquelles ce revenu a été fixé ne sont pas connues. L'article de magazine cité ne constitue donc pas une base suffisante pour retenir que la situation des chauffeurs de taxi s'est modifiée depuis 2016 et que la jurisprudence de la Cour selon laquelle un chauffeur de taxi est en mesure de percevoir à Genève des revenus de 4'500 fr. serait dépassée. Il ressort par ailleurs des statistiques qu'un chauffeur de taxi est en mesure de gagner par mois un salaire brut compris entre 4'490 fr. (salaire médian) selon le Secrétariat d'État à l'Economie et 6'683 fr. selon les statistiques officielles genevoises. L’appelant n’a pas allégué souffrir de problèmes de santé l’empêchant de travailler et ses considérations toutes générales sur l’arrivée de I______ ou le</w:t>
      </w:r>
    </w:p>
    <w:p>
      <w:r>
        <w:t>- 11/13 -</w:t>
      </w:r>
    </w:p>
    <w:p>
      <w:r>
        <w:t>C/13461/2022 changement des habitudes des clients ne permet pas de retenir que les conditions sur le marché du transport de personnes se seraient dégradées depuis 2016. Il doit dès lors être considéré qu'au moment du dépôt de la demande de modification du jugement de divorce, les circonstances ne s'étaient pas modifiées de manière notable, de telle sorte qu'un revenu hypothétique de 4'500 fr. ne pourrait pas être imputé à l'appelant. Il doit par ailleurs être relevé qu'il appartenait à l'appelant de rechercher un autre emploi si celui qu'il exerce à titre indépendant n'est pas susceptible de lui procurer des revenus supérieurs à ceux allégués, correspondant à ceux fixés par le Tribunal. L'appelant, qui ne conteste pas être capable de travailler à plein temps, soutient ne pas être en mesure de trouver un emploi plus rémunérateur compte tenu de son âge et de son absence de formation professionnelle. Il n'a toutefois pas démontré qu'il aurait cherché, en vain, un travail plus rémunérateur et que les éléments invoqués constitueraient un obstacle pour en trouver un. Enfin, le canton de Genève connaît un salaire minimum qui peut être évalué à environ 3'600 fr. nets par mois pour une activité à plein temps. Ainsi, même en tenant compte de ce salaire minimum, que l'appelant pourrait obtenir dans un secteur ne nécessitant pas de formation particulière, comme le nettoyage par exemple, l'appelant serait en mesure de percevoir des revenus plus importants qui, compte tenu des charges qu'il allègue, lui permettrait de s'acquitter de la contribution d'entretien de 470 fr. En définitive, il résulte de ce qui précède, que le Tribunal a retenu à juste titre que la situation de l'appelant n'avait pas notablement changé depuis que le jugement dont la modification est sollicitée a été rendu. C'est également à bon droit que le Tribunal a considéré que même si le montant de 4'500 fr. ne pouvait être réalisé par l'appelant, il serait en mesure d'obtenir des revenus lui permettant de s'acquitter de la contribution d'entretien de 470 fr. L'appel n'est dès lors pas fondé, de sorte qu'il sera rejeté.</w:t>
      </w:r>
    </w:p>
    <w:p>
      <w:r>
        <w:rPr>
          <w:b/>
        </w:rPr>
        <w:t>E. 3</w:t>
      </w:r>
    </w:p>
    <w:p>
      <w:r>
        <w:t>L'appelant, qui succombe, supportera les frais judiciaires de la procédure d'appel (art. 95 al. 1 let. 1 et al. 2, 104 al. 1 et 106 al. 1 CPC), qui seront fixés à 1'000 fr. (art. 17 et 35 RTFMC [RS/GE E 1 05.10]). L'appelant plaidant au bénéfice de l'assistance judiciaire, sa part des frais sera provisoirement laissée à la charge de l'État de Genève, lequel pourra en réclamer le remboursement ultérieurement aux conditions fixées par la loi (art. 122 et 123 CPC; art. 19 RAJ). Il versera par ailleurs des dépens à l'intimée à hauteur de 1'000 fr. (art. 95 al. 1 let. b et al. 3, 96, 104 al. 1, 106 al. 1 et 111 al. 2 CPC; 20 et 23 LaCC; 85 et 90 RTFMC).</w:t>
      </w:r>
    </w:p>
    <w:p>
      <w:r>
        <w:t>- 12/13 -</w:t>
      </w:r>
    </w:p>
    <w:p>
      <w:r>
        <w:t>C/13461/2022 * * * * * PAR CES MOTIFS, La Chambre civile : A la forme : Déclare recevable l'appel interjeté par A______ contre le jugement JTPI/6907/2024 rendu le 4 juin 2024 par le Tribunal de première instance dans la cause C/13461/2022. Au fond : Confirme le jugement entrepris. Déboute les parties de toutes autres conclusions. Sur les frais : Arrête les frais judiciaires d'appel à 1'000 fr., les met à la charge de A______. Laisse provisoirement la part de A______ à la charge de l'Etat de Genève, sous réserve d'une décision contraire de l'assistance judiciaire. Condamne A______ à verser 1'000 fr. à C______ au titre de dépens d'appel. Siégeant : Monsieur Laurent RIEBEN, président; Madame Fabienne GEISINGER-MARIETHOZ, Madame Ursula ZEHETBAUER GHAVAMI, juges; Madame Sandra CARRIER, greffière.</w:t>
      </w:r>
    </w:p>
    <w:p>
      <w:r>
        <w:t>Le président : Laurent RIEBEN</w:t>
      </w:r>
    </w:p>
    <w:p>
      <w:r>
        <w:t>La greffière : Sandra CARRIER</w:t>
      </w:r>
    </w:p>
    <w:p>
      <w:r>
        <w:t>- 13/13 -</w:t>
      </w:r>
    </w:p>
    <w:p>
      <w:r>
        <w:t>C/13461/2022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