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ACJC/360/2014 vom 12. Juni 2013</w:t>
      </w:r>
    </w:p>
    <w:p>
      <w:r>
        <w:t>GE Cour de justice, 2013-06-12, FR</w:t>
      </w:r>
    </w:p>
    <w:p>
      <w:r>
        <w:rPr>
          <w:b/>
        </w:rPr>
        <w:t xml:space="preserve">Quelle: </w:t>
      </w:r>
      <w:r>
        <w:t>https://mcp.opencaselaw.ch/entscheid/ge_gerichte_ACJC_360_2014</w:t>
      </w:r>
    </w:p>
    <w:p>
      <w:r>
        <w:t>FR: GE_GERICHTE ACJC/360/2014 du 12 juin 2013</w:t>
      </w:r>
    </w:p>
    <w:p>
      <w:r>
        <w:t>IT: GE_GERICHTE ACJC/360/2014 del 12 giugno 2013</w:t>
      </w:r>
    </w:p>
    <w:p>
      <w:pPr>
        <w:pStyle w:val="Heading2"/>
      </w:pPr>
      <w:r>
        <w:t>Erwägungen</w:t>
      </w:r>
    </w:p>
    <w:p>
      <w:r>
        <w:rPr>
          <w:b/>
        </w:rPr>
        <w:t>E. 1.1</w:t>
      </w:r>
    </w:p>
    <w:p>
      <w:r>
        <w:t>L'appel est dirigé contre un jugement notifié aux parties après le 1er janvier 2011, de sorte que la présente procédure d'appel est régie par le nouveau droit de procédure (art. 405 al. 1 CPC).</w:t>
      </w:r>
    </w:p>
    <w:p>
      <w:r>
        <w:rPr>
          <w:b/>
        </w:rPr>
        <w:t>E. 1.2</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w:t>
      </w:r>
    </w:p>
    <w:p>
      <w:r>
        <w:rPr>
          <w:b/>
        </w:rPr>
        <w:t>E. 2.1</w:t>
      </w:r>
    </w:p>
    <w:p>
      <w:r>
        <w:t>L'appel a été interjeté dans le délai de trente jours, compte tenu de la suspension des délais du 15 juillet au 15 août inclus, et suivant la forme prescrite par la loi (art. 130, 131, 145 al. 1 let. b, 308 al. 1 let. a, 308 al. 2 et 311 al. 1 CPC). Il est ainsi recevable.</w:t>
      </w:r>
    </w:p>
    <w:p>
      <w:r>
        <w:rPr>
          <w:b/>
        </w:rPr>
        <w:t>E. 2.2</w:t>
      </w:r>
    </w:p>
    <w:p>
      <w:r>
        <w:t>Les conclusions de première instance portent sur une valeur litigieuse supérieure à 10'000 fr. en capital (art. 91 al. 1 CPC), de sorte que la Cour connaît de la présente cause avec un plein pouvoir d'examen (art. 310 CPC).</w:t>
      </w:r>
    </w:p>
    <w:p>
      <w:r>
        <w:rPr>
          <w:b/>
        </w:rPr>
        <w:t>E. 2.3</w:t>
      </w:r>
    </w:p>
    <w:p>
      <w:r>
        <w:t>La maxime des débats (art. 55 al. 1 CPC) et le principe de disposition (art. 58 al. 1 CPC) s'appliquent.</w:t>
      </w:r>
    </w:p>
    <w:p>
      <w:r>
        <w:rPr>
          <w:b/>
        </w:rPr>
        <w:t>E. 3.1</w:t>
      </w:r>
    </w:p>
    <w:p>
      <w:r>
        <w:t>Selon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4.1, publié in SJ 2011 I 155 et références citées; cf. ég. ATF 134 III 151 consid. 2.2, résumé in SJ 2008 I 271). Le choix de la monnaie de paiement évoqué à l'art. 84 al. 2 CO n'est offert qu'au seul débiteur (ATF 137 III 158 consid. 4.2; 134 III 151 consid. 2.2) et le dispositif d'un jugement qui ne serait libellé qu'en monnaie nationale n'apparaîtrait pas admissible (arrêts du Tribunal fédéral</w:t>
      </w:r>
    </w:p>
    <w:p>
      <w:r>
        <w:t>- 13/29 -</w:t>
      </w:r>
    </w:p>
    <w:p>
      <w:r>
        <w:t>C/9910/2010 4C.191/2004 du 7 septembre 2004 consid. 6, publié in SJ 2005 I 174; 4C.399/1996 du 17 juillet 1997 consid. 9a, publié in SJ 1998 205 et la référence citée; cf. aussi, LOERTSCHER, Commentaire romand, CO I, 2012, n. 17 ad art. 84 CO). Il faut donc se demander en quelle monnaie est due l'éventuelle créance déduite en justice, attendu qu'il s'agit de prétentions en dommages-intérêts reposant sur des violations contractuelles. La doctrine considère que les créances en dommages- intérêts doivent en principe être établies dans la monnaie de l'État dans lequel le dommage est survenu, tout en précisant que, selon les circonstances, il se justifie de se fonder sur la monnaie du contrat. Tel est en particulier le cas lorsque les dommages-intérêts viennent remplacer une prestation en paiement (arrêt du Tribunal fédéral 4C.191/2004 précité consid. 6 et références citées).</w:t>
      </w:r>
    </w:p>
    <w:p>
      <w:r>
        <w:rPr>
          <w:b/>
        </w:rPr>
        <w:t>E. 3.2</w:t>
      </w:r>
    </w:p>
    <w:p>
      <w:r>
        <w:t>L'application de l'art. 84 CO est une question juridique, et non factuelle, que le juge peut examiner librement compte tenu du principe iura novit curia (arrêt du Tribunal fédéral 4A_232/2008 du 27 mars 2009 consid. 5.3.1; cf. ég. 4A_218/2010 du 6 octobre 2010 consid. 5.2). La Cour applique en outre le droit d'office (art. 57 CPC).</w:t>
      </w:r>
    </w:p>
    <w:p>
      <w:r>
        <w:rPr>
          <w:b/>
        </w:rPr>
        <w:t>E. 3.3</w:t>
      </w:r>
    </w:p>
    <w:p>
      <w:r>
        <w:t>En l'espèce, le compte de l'appelant auprès de la Banque est en euros. La monnaie de référence pour la gestion du portefeuille convenue entre les parties est également l'euro, et c'est dans cette monnaie que l'appelant a apporté les fonds devant être gérés. Les éventuels dommages-intérêts dus par l'intimée en raison de la prétendue violation de ses obligations contractuelles découlant du contrat de gestion de fortune tendent à compenser la perte subie par l'appelant du fait de cette gestion, dont la monnaie de référence est l'euro. Il faut donc en déduire que l'euro représente la monnaie dans laquelle est due la créance en dommages-intérêts au sens de l'art. 84 al. 1 CO en ce qui concerne la prétention découlant de la violation alléguée du contrat de gestion de fortune. Pour ce motif déjà, la prétention de l'appelant tendant au paiement de 125'586 fr. devrait être rejetée, puisque l'appelant a libellé ses conclusions en francs suisses. De la même manière, l'investissement dans la société anglaise a été effectué par l'appelant en euros, et c'est dans cette monnaie que l'emprunteur devait rembourser à l'appelant le capital investi et un éventuel profit. Les dommages- intérêts dus par l'intimée en raison de la prétendue violation de ses obligations contractuelles en ce qui concerne le conseil relatif à cet investissement visent aussi à compenser la perte subie par l'appelant. Dès lors, l'euro est la monnaie dans laquelle est due la créance en dommages-intérêts au sens de l'art. 84 al. 1 CO en ce qui concerne ce volet de la demande également. L'appelant ne peut pas</w:t>
      </w:r>
    </w:p>
    <w:p>
      <w:r>
        <w:t>- 14/29 -</w:t>
      </w:r>
    </w:p>
    <w:p>
      <w:r>
        <w:t>C/9910/2010 réclamer un paiement dans une autre monnaie, puisque le choix ouvert par l'art. 84 al. 2 CO n'appartient qu'au débiteur. La prétention de l'appelant tendant au paiement de 809'805 fr. devrait dès lors également être rejetée pour ce motif. Cela étant, dans la mesure où les dettes d'argent sont des dettes portables (art. 74 al. 2 ch. 1 CO) et que l'appelant est domicilié en Suisse, l'intimée pourrait choisir de s'acquitter des dommages-intérêts en francs suisses. L'intimée ayant procédé au fond sans jamais relever que les prétentions étaient libellées en francs suisses, il y a lieu d'examiner les griefs de l'appelant contre le jugement querellé.</w:t>
      </w:r>
    </w:p>
    <w:p>
      <w:r>
        <w:rPr>
          <w:b/>
        </w:rPr>
        <w:t>E. 4</w:t>
      </w:r>
    </w:p>
    <w:p>
      <w:r>
        <w:t>L'appelant conclut préalablement à ce qu'un expert soit nommé pour calculer le dommage qu'il allègue avoir été causé par la mauvaise gestion de ses avoirs par l'intimée.</w:t>
      </w:r>
    </w:p>
    <w:p>
      <w:r>
        <w:rPr>
          <w:b/>
        </w:rPr>
        <w:t>E. 4.1</w:t>
      </w:r>
    </w:p>
    <w:p>
      <w:r>
        <w:t>Les faits et moyens de preuves nouveaux ne sont pris en compte que (a) s'ils sont invoqués ou produits sans retard et (b) s'ils ne pouvaient être invoqués ou produits devant la première instance bien que la partie qui s'en prévaut ait fait preuve de la diligence requise (art. 317 CPC). Selon la pratique, il convient de distinguer les vrais nova des pseudo nova. Les vrais nova sont des faits et moyens de preuve qui ne sont survenus qu'après la fin des débats principaux.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4A_643/2011 du 24 février 2012 consid. 3.2.2).</w:t>
      </w:r>
    </w:p>
    <w:p>
      <w:r>
        <w:rPr>
          <w:b/>
        </w:rPr>
        <w:t>E. 4.2</w:t>
      </w:r>
    </w:p>
    <w:p>
      <w:r>
        <w:t>En l'espèce, l'administration du moyen de preuve susmentionné, visant à établir le dommage allégué, aurait pu être sollicitée par l'appelant en première instance, dans la mesure où il ne s'agit pas d'un moyen apparu seulement en appel. Il ne vise pas non plus à démontrer des faits nouveaux survenus seulement après la clôture des débats devant le premier juge. Or, l'appelant n'allègue ni ne démontre qu'il aurait été empêché de requérir le Tribunal d'administrer une telle preuve, étant précisé que l'intimée a contesté le rapport de l'analyste financière produit par l'appelant. La conclusion préalable de l'appelant est dès lors irrecevable.</w:t>
      </w:r>
    </w:p>
    <w:p>
      <w:r>
        <w:t>- 15/29 -</w:t>
      </w:r>
    </w:p>
    <w:p>
      <w:r>
        <w:t>C/9910/2010</w:t>
      </w:r>
    </w:p>
    <w:p>
      <w:r>
        <w:rPr>
          <w:b/>
        </w:rPr>
        <w:t>E. 5</w:t>
      </w:r>
    </w:p>
    <w:p>
      <w:r>
        <w:t>L'appelant reproche au Tribunal d'avoir retenu, selon lui à tort, que l'intimée n'avait pas violé son obligation de diligence en relation avec la gestion de son portefeuille et que lui-même n'avait pas établi son dommage.</w:t>
      </w:r>
    </w:p>
    <w:p>
      <w:r>
        <w:rPr>
          <w:b/>
        </w:rPr>
        <w:t>E. 5.1</w:t>
      </w:r>
    </w:p>
    <w:p>
      <w:r>
        <w:t>Il n'est pas contesté que les parties sont liées par un contrat de gestion de fortune en ce qui concerne la gestion des avoirs de l'appelant, qui est soumis aux règles du mandat au sens des art. 394 ss CO, au moins en ce qui concerne les devoirs et la responsabilité du gérant (ATF 132 III 460 consid. 4.1, JdT 2008 I 58; 124 III 155 consid. 2b, JdT 1999 I 125). Dans le mandat de gestion, le gérant s'oblige à gérer, dans les termes du contrat, tout ou partie de la fortune du mandant, en déterminant lui-même les opérations boursières à effectuer, dans les limites fixées par le client (arrêt du Tribunal fédéral 4A_168/2008 du 11 juin 2008 consid. 2.1, publié in SJ 2009 I 13). Dans un contrat de conseil en placement, en revanche, le client décide toujours lui- même des opérations à effectuer (arrêt du Tribunal fédéral 4A_168/2008 précité consid. 2.1) et la banque/le gérant ne peut en entreprendre que sur instructions ou avec l'accord de son client (arrêts du Tribunal fédéral 4A_90/2011 du 22 juin 2011 consid. 2.2.1; 4A_262/2008 du 23 septembre 2008 consid. 2.1).</w:t>
      </w:r>
    </w:p>
    <w:p>
      <w:r>
        <w:rPr>
          <w:b/>
        </w:rPr>
        <w:t>E. 5.2</w:t>
      </w:r>
    </w:p>
    <w:p>
      <w:r>
        <w:t>La responsabilité du gérant étant soumise aux règles du mandat, la banque, respectivement la société de gestion de fortune, est responsable envers le client de la bonne et fidèle exécution du contrat (art. 398 al. 2 CO; ATF 124 III 155 consid. 2b). Le gérant a un devoir de diligence et répond du dommage qu'il cause au client en violant ce devoir intentionnellement ou par négligence (art. 321e CO, applicable par le renvoi de l'art. 398 al. 1 CO; ATF 124 III 155 consid. 3). Si la banque/le gérant a reçu des instructions précises, elle/il ne peut s'en écarter qu'aux conditions de l'art. 397 al. 1 CO. Son devoir de diligence doit être déterminé de manière objective (arrêts du Tribunal fédéral 4A_90/2011 du 22 juin 2011 consid. 2.2.2; 4C.158/2006 du 10 novembre 2006 consid. 3.1; 4C.126/2004 du 15 décembre 2004 consid. 2.2). Le gérant doit déployer la diligence due, mais il ne garantit aucun résultat (arrêt du Tribunal fédéral 4C.158/2006 précité consid. 3.1; 4C.18/2004 du 3 décembre 2004 consid. 1.1, publié in Praxis 2005 n° 73 p. 566). En matière contractuelle, les conditions d'une action en responsabilité sont énoncées à l'art. 97 al. 1 CO. Si le client ne peut obtenir l'exécution de l'obligation ou ne peut l'obtenir qu'imparfaitement, le gérant est tenu de réparer le dommage en résultant, à moins qu'il ne prouve qu'aucune faute ne lui est imputable (arrêts du Tribunal fédéral 4A_168/2008 précité consid. 2.6; 4C.191/2004 du 7</w:t>
      </w:r>
    </w:p>
    <w:p>
      <w:r>
        <w:t>- 16/29 -</w:t>
      </w:r>
    </w:p>
    <w:p>
      <w:r>
        <w:t>C/9910/2010 septembre 2004 consid. 4.2). On discerne donc quatre conditions cumulatives : une violation du contrat (sous la forme de l'inexécution ou de la mauvaise exécution d'une obligation), une faute (qui est présumée), un rapport de causalité (naturelle et adéquate) et un dommage (arrêt du Tribunal fédéral 4A_90/2011 du 22 juin 2011 consid. 2.2.2). En ce qui concerne le fardeau de la preuve (art. 8 CC), il incombe au client de prouver les faits permettant de constater que les conditions de la responsabilité de la banque sont réunies, à savoir qu'un contrat a été conclu, que la banque l'a mal exécuté, qu'un dommage est survenu et qu'il existe un rapport de causalité entre la mauvaise exécution et le dommage. La banque, pour sa part, pourrait apporter la preuve qu'elle n'a pas commis de faute (art. 97 al. 1 CO). Elle peut également établir des faits libératoires, par exemple que le client a donné de nouvelles instructions ou qu'il a ratifié après coup les opérations effectuées (arrêt du Tribunal fédéral 4C.18/2004 précité consid. 1.5 et 1.8).</w:t>
      </w:r>
    </w:p>
    <w:p>
      <w:r>
        <w:rPr>
          <w:b/>
        </w:rPr>
        <w:t>E. 5.3</w:t>
      </w:r>
    </w:p>
    <w:p>
      <w:r>
        <w:t>Le gérant qui dispose d'un pouvoir de gestion défini largement ne répond que des pertes résultant d'opérations déraisonnables, c'est-à-dire d'opérations qu'un professionnel n'aurait raisonnablement et objectivement pas entreprises (arrêts du Tribunal fédéral 4A_140/2011 consid. 2.2.3; 4C. 285/1993 consid. 2c, publié in SJ 1994 729).</w:t>
      </w:r>
    </w:p>
    <w:p>
      <w:r>
        <w:t>La concentration excessive des placements en un seul titre constitue une opération déraisonnable (arrêts du Tribunal fédéral 4A_90/2011 précité consid. 2.2.3; 4C.385/2006 consid. 5.2, publié in SJ 2007 I 499). En effet, le gérant diligent doit diversifier son portefeuille en répartissant les risques entre différents types d'instruments financiers. Les investissements ne doivent en outre pas être concentrés sur le même actif au sein d'une catégorie (EMCH/RENZ/ARPAGAUS, Das schweizerische Bankgeschäft, 7ème éd., 2011, n. 1637, p. 555; LOMBARDINI, Droit bancaire suisse, 2ème éd., 2008, Chap. XXX, n. 49 et 51, p. 814-815).</w:t>
      </w:r>
    </w:p>
    <w:p>
      <w:r>
        <w:rPr>
          <w:b/>
        </w:rPr>
        <w:t>E. 5.4</w:t>
      </w:r>
    </w:p>
    <w:p>
      <w:r>
        <w:t>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BOHNET, Procédure civile, 2011, p. 239; HOHL, Procédure civile, tome I, 2001, n. 945). Pour être notoire, un renseignement ne doit pas être constamment présent à l'esprit, il suffit qu'il puisse être contrôlé par des publications accessibles à chacun (ATF 135 III 88 consid. 4.1 et les références citées; arrêt du Tribunal fédéral 4P.277/1998 du 22 février 1999 consid. 3d, publié in RSDIE 2000 p. 575).</w:t>
      </w:r>
    </w:p>
    <w:p>
      <w:r>
        <w:rPr>
          <w:b/>
        </w:rPr>
        <w:t>E. 5.5</w:t>
      </w:r>
    </w:p>
    <w:p>
      <w:r>
        <w:t>En l'espèce, dans le contrat de gestion litigieux, l'appelant a choisi un profil de risque "équilibré", avec une croissance moyenne de l'investissement et un</w:t>
      </w:r>
    </w:p>
    <w:p>
      <w:r>
        <w:t>- 17/29 -</w:t>
      </w:r>
    </w:p>
    <w:p>
      <w:r>
        <w:t>C/9910/2010 portefeuille sujet aux fluctuations du cours des actions. Ce profil se situait au centre du classement par importance du risque des profils proposés par l'intimée et était recommandé pour un horizon d'investissement de cinq à sept ans. Il s'agissait d'obtenir un rendement supérieur à celui d'une gestion purement conservatrice, mais inférieur à celui qui pourrait être obtenu avec une gestion agressive ou spéculative, la prise de risques étant bien entendu proportionnelle. Il n'est en revanche pas établi que l'appelant aurait donné à son gérant des instructions précises sur la manière de gérer ses avoirs, soit qu'il aurait interdit certains types de placements (par exemple les investissements dans des produits à capital non protégé) ou fixé des limites dans le pourcentage de certains types d'investissements. Il faut en déduire que le client faisait confiance à son gérant et que celui-ci disposait d'un mandat large. Sans instruction précise, le gérant peut accomplir toutes les opérations bancaires ordinaires (arrêt du Tribunal fédéral 4C.467/1994 du 28 juillet 1995 consid. 2b). L'appelant soutient que la gestion opérée ne correspondait pas à un profil "équilibré". Comme indiqué ci-dessus, à défaut de définition précise de ce que signifiait une stratégie d'investissement équilibrée, notamment sur le pourcentage d'allocation des actifs, le gérant disposait d'une large marge de manœuvre. Le seul fait que le portefeuille était constitué à hauteur de 70% de produits structurés ne démontre pas encore que le portefeuille ne correspondait pas au profil convenu entre les parties. Selon l'ancien directeur de l'intimée ayant exercé cette fonction jusqu'en 2010, un portefeuille contenant des produits structurés était d'ailleurs davantage équilibré qu'un portefeuille composé à 85% d'actions et à 15% d'obligations, car le risque était ainsi diminué. Contrairement à ce qu'allègue l'appelant, il n'est pas notoire qu'un portefeuille équilibré est composé de 30 à 50% de rendements fixes, de 30 à 50% d'actions et de 10 à 20% d'autres instruments. En ce qui concerne les investissements choisis par le gérant dans le portefeuille de l'appelant, ce dernier n'a pas établi que ceux-ci ne pouvaient être considérés comme étant "équilibrés", l'expertise produite par l'appelant - et contestée par l'intimée devant le premier juge - n'étant pas suffisante à cet égard. En effet, l'analyste financière mandatée par l'appelant s'est contentée d'affirmer que l'allocation des actifs ne pouvait être considérée comme "balanced", sans expliquer pour quel motif. Elle a relevé qu'aucun des produits structurés n'était "capital guaranteed". Il n'a toutefois pas été établi que les parties étaient convenues d'une telle condition, ni qu'un portefeuille contenant 70% de produits structurés sans garantie de capital ne peut pas être considéré comme relevant d'une stratégie "équilibrée", telle que convenue entre les parties. Cette expertise privée n'est dès lors pas convaincante et ne saurait être considérée comme suffisante pour</w:t>
      </w:r>
    </w:p>
    <w:p>
      <w:r>
        <w:t>- 18/29 -</w:t>
      </w:r>
    </w:p>
    <w:p>
      <w:r>
        <w:t>C/9910/2010 établir une éventuelle violation du devoir de diligence du gérant dans la gestion des avoirs de l'appelant. Par ailleurs, l'appelant se plaint de ce que les investissements litigieux ne respecteraient pas le principe de diversification des risques. A cet égard, il souligne que les actions étaient investies dans deux titres seulement, soumis aux risques du même secteur d'activité (bancaire), tous deux cotés à Londres, libellés dans la même devise (GBP) et "émis par le même groupe (Islamic)". La part "produit structuré" était en outre investie "dans trois produits seulement". En l'espèce, le portefeuille était constitué notamment de deux types d'actions (European Islamic Investment Bank Plc et Islamic Bank of Britain Plc pour une valeur à fin mars 2008 d'environ 39'000 GBP, respectivement 31'000 GBP) et de trois produits structurés (pour une valeur de l'ordre de 93'000 EUR, 88'000 EUR et 100'000 EUR).</w:t>
      </w:r>
    </w:p>
    <w:p>
      <w:r>
        <w:t>Par ses considérations, l'appelant ne démontre pas que ce portefeuille serait insuffisamment diversifié ou que le gérant aurait concentré les investissements sur un actif de manière excessive. Au demeurant, le portefeuille hypothétique proposé par l'analyste financière mandatée par l'appelant comprend neuf titres, au sujet desquels il n'est donné aucune précision, mais dont une majorité paraît similaire, soit quatre "JB" et trois "Dexia Sustainable European Balanced", tous libellés en euros. A suivre les critères de l'appelant, et au regard du portefeuille hypothétique de référence présenté comme "équilibré", le portefeuille litigieux ne saurait être considéré comme n'étant pas "équilibré".</w:t>
      </w:r>
    </w:p>
    <w:p>
      <w:r>
        <w:t>Eu égard à la marge de manœuvre dont disposait le gérant dans la gestion du portefeuille de l'appelant, ce dernier n'a pas établi que le gérant n'aurait pas respecté le profil d'investissement convenu, ni qu'il aurait procédé à des opérations déraisonnables. Partant, aucune violation de son devoir de diligence ne peut être reprochée au gérant, et l'appelant doit être débouté de ce chef de conclusions pour ce motif déjà.</w:t>
      </w:r>
    </w:p>
    <w:p>
      <w:r>
        <w:rPr>
          <w:b/>
        </w:rPr>
        <w:t>E. 5.6</w:t>
      </w:r>
    </w:p>
    <w:p>
      <w:r>
        <w:t>Par surabondance de moyens, même s'il devait être retenu que le gérant s'était écarté du profil d'investissement initialement convenu – ce qui n'a pas été démontré en l'espèce −, il y aurait lieu de considérer que l'appelant a ratifié les opérations effectuées. En effet, il résulte des échanges de courriels entre le client et son gérant que le premier suivait régulièrement l'évolution de son compte et était parfaitement au courant des investissements choisis. Il a d'ailleurs expressément confirmé à son gérant qu'il approuvait sa stratégie et en était satisfait. L'appelant ne saurait prétendre pour les besoins de la cause qu'il n'avait aucune expérience dans les produits financiers et n'était pas en mesure d'en apprécier les risques. En effet, il ressort du dossier, notamment de courriels</w:t>
      </w:r>
    </w:p>
    <w:p>
      <w:r>
        <w:t>- 19/29 -</w:t>
      </w:r>
    </w:p>
    <w:p>
      <w:r>
        <w:t>C/9910/2010 échangés avec son gérant, que l'appelant avait une certaine expérience lui permettant de comprendre les indications de son gérant en matière d'instruments financiers et de discuter avec celui-ci de ses investissements dans des termes relativement techniques. Ce n'est singulièrement qu'après plusieurs mois de gestion, soit au moment de la crise financière en automne 2008, que l'appelant a commencé à s'inquiéter de la baisse des valeurs.</w:t>
      </w:r>
    </w:p>
    <w:p>
      <w:r>
        <w:t>Dans ces circonstances, il doit être retenu que l'appelant était au courant de la stratégie d'investissement suivie par son gérant, à laquelle il avait expressément adhéré et dont il attendait la performance et la sécurité désirées. A cet égard, l'appelant n'a pas établi ni même rendu vraisemblable qu'il aurait approuvé les investissements effectués par son gérant sans en comprendre la portée. L'appelant devra donc être débouté de ses conclusions sur ce point pour ce motif également.</w:t>
      </w:r>
    </w:p>
    <w:p>
      <w:r>
        <w:rPr>
          <w:b/>
        </w:rPr>
        <w:t>E. 5.7</w:t>
      </w:r>
    </w:p>
    <w:p>
      <w:r>
        <w:t>L'appelant reproche encore au premier juge d'avoir retenu qu'il ne s'était pas manifesté en relation avec le formulaire relatif au profil du client, rempli par le gérant et remis à la Banque lors de l'ouverture du compte, dans lequel les cases "élevé" ont été cochées à côté des trois éléments définissant les aptitudes du client à accepter les risques. Or, ce document n'est en définitive pas pertinent pour la solution du litige. En effet, il s'agit d'examiner dans le cas présent si la gestion opérée par le gérant a été conforme au profil d'investissement "équilibré" tel que convenu entre les parties. Le contenu du formulaire en mains de la banque dépositaire est sans incidence à cet égard.</w:t>
      </w:r>
    </w:p>
    <w:p>
      <w:r>
        <w:rPr>
          <w:b/>
        </w:rPr>
        <w:t>E. 6</w:t>
      </w:r>
    </w:p>
    <w:p>
      <w:r>
        <w:t>La demande de l'appelant relative à la violation du mandat de gestion de fortune devrait être rejetée pour un autre motif également. En effet, comme l'a retenu le premier juge et contrairement à ce que soutient l'appelant, ce dernier n'a pas établi le dommage allégué.</w:t>
      </w:r>
    </w:p>
    <w:p>
      <w:r>
        <w:rPr>
          <w:b/>
        </w:rPr>
        <w:t>E. 6.1</w:t>
      </w:r>
    </w:p>
    <w:p>
      <w:r>
        <w:t>La notion juridique du dommage est commune aux responsabilités contractuelle et délictuelle (art. 99 al. 3 CO; ATF 87 II 290 consid. 4a) :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 diminution du passif (ATF 133 III 462 consid. 4.4.2; 132 III 359 consid. 4; 132 III 321 consid. 2.2.1).</w:t>
      </w:r>
    </w:p>
    <w:p>
      <w:r>
        <w:t>- 20/29 -</w:t>
      </w:r>
    </w:p>
    <w:p>
      <w:r>
        <w:t>C/9910/2010 Dans plusieurs contestations concernant la responsabilité du gérant de fortune, le Tribunal fédéral a admis que le dommage puisse être déterminé par comparaison entre le résultat du portefeuille effectivement en cause et celui d'un portefeuille hypothétique constitué et géré conformément au contrat et pendant la même période (arrêts du Tribunal fédéral 4A_351/2007 du 15 janvier 2008 consid. 3.2.2; 4C.18/2004 du 3 décembre 2004 consid. 2). Cette méthode permet de prendre en considération, à l'avantage du gérant fautif, la perte que le mandant aurait probablement subie aussi avec un gérant consciencieux, par l'effet d'une baisse généralisée des cours dans la période en cause (arrêt du Tribunal fédéral 4C.158/2006 du 10 novembre 2006 consid. 4).</w:t>
      </w:r>
    </w:p>
    <w:p>
      <w:r>
        <w:rPr>
          <w:b/>
        </w:rPr>
        <w:t>E. 6.2</w:t>
      </w:r>
    </w:p>
    <w:p>
      <w:r>
        <w:t>En l'espèce, l'appelant a produit, pour démontrer son dommage, un rapport d'une analyste financière qu'il a mandatée. L'analyste a reconnu les difficultés rencontrées pour trouver des informations utilisables permettant de reconstituer un portefeuille hypothétique. Elle a fini par sélectionner neuf fonds, au sujet desquels il n'est donné aucune précision, le critère de sélection étant, semble-t-il, la capacité à trouver des informations exploitables pour reconstituer un portefeuille hypothétique durant la période considérée. Elle a en outre admis que son calcul était imprécis. Dans ces circonstances, il ne peut être retenu que le portefeuille hypothétique présenté par l'appelant est seul représentatif de la prétendue stratégie d'investissement convenue entre les parties que le gérant aurait dû suivre. Cette analyse est dès lors insuffisante à démontrer le dommage allégué par l'appelant du fait de la gestion litigieuse. Pour le surplus, l'appelant n'a pas sollicité d'expertise devant le premier juge, alors même que le rapport privé produit a été contesté par l'intimée. Comme retenu ci- dessus (cf. consid. 4), la demande d'expertise formulée devant la Cour est irrecevable. Le chef de conclusion de l'appelant relatif à la gestion de ses avoirs devra donc être rejeté pour ce motif également.</w:t>
      </w:r>
    </w:p>
    <w:p>
      <w:r>
        <w:rPr>
          <w:b/>
        </w:rPr>
        <w:t>E. 7</w:t>
      </w:r>
    </w:p>
    <w:p>
      <w:r>
        <w:t>L'appelant reproche au premier juge d'avoir retenu que la clause limitative de responsabilité à la faute grave, prévue à l'art. 12 du "Management Authorization" s'appliquait également au contrat de conseil en placement concernant l'investissement de 500'000 EUR dans la société immobilière anglaise. Il conteste en outre toute faute concomitante à cet égard. L'appelant soutient ainsi que le gérant a violé son devoir de diligence et est responsable du dommage subi en lien avec son investissement dans la société immobilière anglaise.</w:t>
      </w:r>
    </w:p>
    <w:p>
      <w:r>
        <w:rPr>
          <w:b/>
        </w:rPr>
        <w:t>E. 7.1</w:t>
      </w:r>
    </w:p>
    <w:p>
      <w:r>
        <w:t>Dans le contrat de conseil en placements, le client décide lui-même des opérations à effectuer, après avoir obtenu renseignements et conseils de la banque/du gérant. Ce pouvoir décisionnel constitue le principal critère de distinction par rapport au contrat de gestion de fortune (arrêts du Tribunal fédéral</w:t>
      </w:r>
    </w:p>
    <w:p>
      <w:r>
        <w:t>- 21/29 -</w:t>
      </w:r>
    </w:p>
    <w:p>
      <w:r>
        <w:t>C/9910/2010 4A_525/2011 du 3 février 2012 consid. 3.1, publié in PJA 2012 p. 1317; 4A_168/2008 précité consid. 2.1). Le conseil demandé peut être ponctuel (LOMBARDINI, op. cit., p. 791 n. 10). Le client doit supporter seul le risque découlant de sa décision, sachant qu'il ne peut pas se fier sûrement à un conseil concernant un événement futur et incertain (ATF 119 II 333 consid. 7a; arrêt du Tribunal fédéral 4A_444/2012 du 10 décembre 2012 consid. 3.2, publié in SJ 2013 I 512 et référence citée). La banque assume des devoirs de renseignement, de conseil et d'avertissement tirés des règles du mandat, devoirs dont l'étendue varie selon que les parties sont liées par un conseil en placement ou un mandat de gestion, et selon les circonstances du cas, auxquelles ressortissent notamment les connaissances et l'expérience du client; le mandat de gestion est plus contraignant pour la banque (arrêts du Tribunal fédéral 4A_444/2012 précité consid. 3.2; cf. ég. 4A_525/2011 précité consid. 3.2; 4A_168/2008 précité consid. 2.3; 4C.205/2006 du 21 février 2007 consid. 3.2, publié in SJ 2007 I 313). Comme conseillère en placement, la banque/le gérant doit renseigner le client sur tous les éléments importants pour la formation de sa volonté (cf. ATF 115 II 62 consid. 3a). Elle doit en particulier l'informer sur les chances et les risques liés aux placements envisagés (arrêt du Tribunal fédéral 4A_168/2008 précité consid. 2.4; cf. ATF 124 III 155 consid. 3a). L'information donnée doit être exacte, compréhensible et complète (arrêt du Tribunal fédéral 4A_168/2008 précité consid. 2.4). Lorsque la banque/le gérant recommande d'acquérir un titre déterminé, elle doit connaître la situation financière de la société émettrice et ses perspectives d'avenir, ainsi que les avis exprimés par la presse économique et les agences de cotation. L'étendue des recherches à effectuer par la banque/le gérant n'est pas illimitée (arrêt du Tribunal fédéral 4A_444/2012 précité consid. 3.2; cf. ég. 4C.205/2006 précité consid. 3.4.1). Le conseil donné par la banque/le gérant se rapporte à l'opportunité d'effectuer un placement par rapport à la situation personnelle du client. La banque doit donc se renseigner sur cet aspect, et notamment s'enquérir du degré de risque que le client est prêt à assumer (LOMBARDINI, op. cit., p. 794 n. 19 s. et p. 795 n. 25; GUGGENHEIM, Les contrats de la pratique bancaire suisse, 4e éd. 2000, p. 209 s.). En fin de compte, la responsabilité de la banque/du gérant n'est engagée que si le conseil, au moment où il a été donné, était manifestement déraisonnable (ATF 119 II 333 consid. 7a; arrêt du Tribunal fédéral 4A_444/2012 précité consid. 3.2). En principe, la diligence requise s'apprécie au moyen de critères objectifs. Il s'agira de déterminer comment un mandataire consciencieux, placé dans la même situation, aurait agi en gérant l'affaire en cause. Les exigences seront plus sévères à l'égard du gérant qui exerce son mandat à titre professionnel, moyennant rémunération (ATF 115 II 62 consid. 3a; arrêt du Tribunal fédéral 4C.97/1997 du</w:t>
      </w:r>
    </w:p>
    <w:p>
      <w:r>
        <w:t>- 22/29 -</w:t>
      </w:r>
    </w:p>
    <w:p>
      <w:r>
        <w:t>C/9910/2010 29 octobre 1997 consid. 4a, publié in SJ 1998 198). La diligence à observer par le mandataire ne se mesure pas toujours selon des critères objectifs; ainsi, il se peut également que les parties conviennent du degré de diligence que le mandataire doit mettre en œuvre pour atteindre le résultat. Tel est le cas lorsque les parties décident que le mandataire apportera aux affaires du mandant le même soin qu'à ses propres affaires (diligentia quam in suis; arrêts du Tribunal fédéral 4A_168/2008 précité consid. 2.5 et références citées; 4C.97/1997 précité consid. 4a et références citées).</w:t>
      </w:r>
    </w:p>
    <w:p>
      <w:r>
        <w:t>Si le mandant ne peut obtenir l'exécution de l'obligation ou ne peut l'obtenir qu'imparfaitement, le mandataire est tenu de réparer le dommage en résultant, à moins qu'il ne prouve qu'aucune faute ne lui est imputable (art. 97 al. 1 CO; ATF 128 III 22 consid. 2b; arrêt du Tribunal fédéral 4C.97/1997 précité consid. 4a). Ainsi, celui qui est lié à son client par un contrat de conseil en placements répond, en cas de mauvaise exécution, d'un éventuel dommage subi par le client sur la base des art. 97 al. 1 et 398 al. 2 CO (arrêt du Tribunal fédéral 4A_168/2008 précité consid. 2.6 et références citées). Conformément aux règles générales de la responsabilité contractuelle et à l'art. 8 CC, il incombe au client d'apporter la preuve de la conclusion d'un contrat et de sa mauvaise exécution par le mandataire (arrêt du Tribunal fédéral 4C.278/1996 du 25 février 1998 consid. 2c). Il lui incombe de même de prouver la relation de causalité entre la mauvaise exécution du contrat et le préjudice subi. Lorsque l'inexécution contractuelle consiste dans une omission de renseigner, le client doit démontrer que si son conseiller l'avait renseigné, il aurait selon toute vraisemblance pris une décision qui lui aurait permis d'éviter le dommage (ATF 124 III 155 consid. 3d; arrêt du Tribunal fédéral 4A_168/2008 précité consid. 2.7 et références citées).</w:t>
      </w:r>
    </w:p>
    <w:p>
      <w:r>
        <w:rPr>
          <w:b/>
        </w:rPr>
        <w:t>E. 7.2</w:t>
      </w:r>
    </w:p>
    <w:p>
      <w:r>
        <w:t>En l'espèce, il n'est pas contesté que les parties se sont liées par un contrat de conseil en placement, lequel a porté sur un conseil ponctuel. L'appelant a sollicité auprès de son gérant un conseil pour un investissement à court terme de 500'000 EUR "avec un nominal garanti et un éventuel bon résultat", l'offre à court terme de la Banque ne lui paraissant pas profitable. L'intimée, en tant que gérante de fortune de l'appelant, connaissait la situation personnelle et le profil de ce dernier, soit une tolérance au risque "moyenne". Les attentes du client demeuraient similaires pour l'investissement sollicité, puisqu'il souhaitait obtenir un rendement supérieur à celui proposé par sa banque dépositaire pour des investissements à court terme, tout en limitant les risques. Le gérant a suggéré à l'appelant d'investir dans une société immobilière sise en Angleterre. Il a recommandé cet investissement à l'appelant en décrivant la société</w:t>
      </w:r>
    </w:p>
    <w:p>
      <w:r>
        <w:t>- 23/29 -</w:t>
      </w:r>
    </w:p>
    <w:p>
      <w:r>
        <w:t>C/9910/2010 comme "très sûre", dans la mesure où il avait déjà travaillé avec elle par le passé, et en indiquant l'existence de deux garanties, soit un gage de second rang sur les actifs ("second charge over assets") et une garantie sociale ("corporate guarantee"). L'appelant ayant demandé des précisions sur les garanties données par la société, le gérant lui a exposé qu'une "second charge over assets" était comme un deuxième gage venant après un premier gage ("mortgage"), de sorte que dans l'ordre de préférence dans une vente, le premier gage, puis le second gage, étaient payés, le solde revenant au propriétaire. Ce qui était important n'était pas seulement le gage, mais le rapport global du prêt par rapport à la valeur, soit la valeur de la dette comparée à la valeur de la société. En ce qui concernait la garantie sociale ("corporate guarantee"), la société avait une valeur nette de plus de 20'000'000 GBP et donnait une garantie contre ses actifs, ce qui constituait une deuxième sécurité. La brochure relative à cet investissement a été envoyée par le gérant à l'appelant, qui n'a toutefois pas pu en prendre connaissance, à défaut de pouvoir ouvrir la pièce jointe. Cette offre est devenue caduque du fait de l'écoulement du temps. Par la suite, le gérant a informé l'appelant de ce qu'une opportunité identique aux conditions similaires serait prochainement ouverte auprès de la même société. Il a précisé ultérieurement que la société anglaise, enregistrée et sise en Angleterre, proposait un produit sous la forme d'un prêt pour une période de trois mois, prolongeable à six mois, avec un rendement de 4% par mois, le produit étant garanti par un gage sur la société ("the product is (…) guaranteed by a charge over the company"). Il lui a assuré qu'il s'agissait d'un "bon retour garanti" pour l'appelant ("it is good guaranteed return for you"). L'appelant a donné son aval pour cette "opportunité à capital garanti", en précisant qu'il souhaitait pouvoir retirer une partie du capital en septembre 2008. Il demandait en outre que lui soit envoyée la brochure relative à l'investissement, qu'il n'avait jamais reçue. Le gérant a fait parvenir à l'appelant le projet de convention avec la société immobilière ("Joint venture agreement"), précisant que l'investissement avait pour but de produire un rendement de 2% par mois, avec retrait de capitaux, selon la demande de l'appelant. Ce dernier a soumis ce contrat à son avocat qui lui a indiqué que le contrat correspondait à ses attentes. A la suite de l'intervention de ce dernier, le gérant a</w:t>
      </w:r>
    </w:p>
    <w:p>
      <w:r>
        <w:t>- 24/29 -</w:t>
      </w:r>
    </w:p>
    <w:p>
      <w:r>
        <w:t>C/9910/2010 fait parvenir, à l'avocat directement, un contrat modifié en accord avec la société immobilière. Selon la clause 5.1, intitulée "protection du capital" ("capital protection") du contrat de joint venture signé entre l'appelant et la société, la société immobilière et son ayant droit économique s'engageaient à utiliser toutes leurs ressources pour rembourser à l'appelant le montant investi, ainsi que pour lui payer la part de bénéfice convenue. La question pertinente en l'espèce est donc celle de savoir si, en relation avec le deuxième investissement proposé et au regard de ce qui précède, le gérant a failli à son devoir de diligence, en particulier en ce qui concerne l'étendue et la qualité de l'information donnée. Concernant ce deuxième investissement, le gérant a tout d'abord indiqué qu'il s'agissait d'une "opportunité identique aux conditions similaires". L'appelant pouvait donc comprendre à ce stade, eu égard aux explications précédentes relatives à la première opportunité d'investissement manquée, que l'investissement était garanti par un "gage de second rang" sur les actifs et d'une "garantie sociale" de la société, au sens du droit anglais. Cela étant, le gérant a par la suite exposé que le deuxième produit proposé se présentait sous la forme d'un prêt à la société, "garanti par un gage sur la société" ("guaranteed by a charge over the company"). Contrairement au premier investissement, le gérant a donc clairement fait état d'une seule garantie, et non de deux. Une telle déclaration est néanmoins confuse et ne permet pas de comprendre précisément en quoi consistait cette garantie. Cela étant, et comme retenu par le premier juge, il en résulte, en relation avec les informations données précédemment, que l'appelant pouvait s'attendre à une forme de garantie sur son investissement. De plus, il n'a pas été établi que le gérant aurait informé l'appelant d'un éventuel risque de défaut de la société, tout théorique soit-il. A cet égard, il y a lieu de retenir que le gérant a manqué à son devoir de diligence, dans la mesure où il a informé son client de manière incomplète et imprécise. En revanche, l'appelant n'a pas établi que le gérant se serait mal renseigné au sujet de la solvabilité de la société, qu'il aurait pu savoir, au moment où il a proposé cet investissement, que la société connaissait des difficultés financières ou qu'il aurait pu anticiper de telles difficultés. L'appelant n'allègue pas non plus que le conseil donné aurait été déraisonnable, compte tenu de sa situation personnelle, de son profil d'investissement et des informations disponibles au moment où le conseil a été prodigué. Il est d'ailleurs notoire (art. 151 CPC) que la crise financière de</w:t>
      </w:r>
    </w:p>
    <w:p>
      <w:r>
        <w:t>- 25/29 -</w:t>
      </w:r>
    </w:p>
    <w:p>
      <w:r>
        <w:t>C/9910/2010 2007-2008, qui a été déclenchée par la crise dite des "subprimes" (prêts immobiliers [hypothécaires] à risque aux Etats-Unis), a fait chuter de façon importante le cours des valeurs boursières sur toutes les places financières internationales lors du crash financier de l'automne 2008, entraînant la faillite de plusieurs établissements bancaires et entreprises de prêts hypothécaires. L'appelant n'allègue pas que son gérant aurait pu anticiper l'effondrement des marchés financiers à cette époque. Par ailleurs, l'appelant était suffisamment expérimenté en affaires et en matière financière pour savoir que tout investissement comporte un risque, ce d'autant plus que le rendement attendu était de 2% par mois pour un investissement de 6 mois, soit 12% cumulés. Nonobstant l'information imprécise donnée par le gérant, l'appelant ne pouvait pas s'attendre à ce que son investissement soit garanti à 100%. Le Tribunal a considéré que la clause de limitation de responsabilité aux cas de faute grave figurant à l'art. 12 des conditions générales du contrat de gestion de fortune entre les parties devait être prise en considération également dans le cadre du contrat de conseil en placement, ce que conteste l'appelant. Cette question n'est toutefois pas pertinente en l'espèce, dans la mesure où il n'y a pas lieu de déterminer le degré de gravité du manquement reproché à l'intimée. En effet, il ne suffit pas, pour que la responsabilité de l'intimée soit engagée, que l'appelant démontre que son gérant l'aurait mal renseigné. L'appelant doit encore démontrer un lien de causalité entre la mauvaise exécution du contrat et le préjudice subi; il doit en particulier prouver qu'il aurait selon toute vraisemblance pris une décision qui lui aurait permis d'éviter le dommage, si son conseiller l'avait renseigné de manière complète. Or, tel n'est pas le cas en l'espèce, compte tenu des motifs qui suivent.</w:t>
      </w:r>
    </w:p>
    <w:p>
      <w:r>
        <w:rPr>
          <w:b/>
        </w:rPr>
        <w:t>E. 8</w:t>
      </w:r>
    </w:p>
    <w:p>
      <w:r>
        <w:t>Mi-avril 2008, le gérant a fait parvenir à l'appelant le projet de convention entre ce dernier et la société anglaise, en précisant que l'investissement avait pour but de produire un rendement de 2% par mois, avec retrait de capitaux, selon la demande de l'appelant. Il n'était alors pas fait mention d'une quelconque garantie.</w:t>
      </w:r>
    </w:p>
    <w:p>
      <w:r>
        <w:t>Ce contrat prévoyait que la société anglaise devait fournir tous les efforts raisonnables pour réaliser un profit en utilisant le montant investi conformément à l'utilisation autorisée par le contrat. Bien que les parties aient reconnu que le montant d'un éventuel profit réalisé était incertain, F______ attendait un profit brut d'environ 20'000 EUR par mois (clause 4.1). L'investisseur devait recevoir la moitié du profit réalisé chaque mois par F______ (clause 4.2), dont le montant</w:t>
      </w:r>
    </w:p>
    <w:p>
      <w:r>
        <w:t>- 26/29 -</w:t>
      </w:r>
    </w:p>
    <w:p>
      <w:r>
        <w:t>C/9910/2010 total devait lui être versé à l'échéance du contrat avec le montant investi (clause 4.3).</w:t>
      </w:r>
    </w:p>
    <w:p>
      <w:r>
        <w:t>Par ailleurs, la clause intitulée "protection du capital" prévoyait qu'aussi bien la société anglaise que son ayant droit économique s'engageaient à utiliser toutes leurs ressources pour rembourser à l'appelant le montant investi, ainsi que pour lui payer la part de bénéfice lui revenant (clause 5.1).</w:t>
      </w:r>
    </w:p>
    <w:p>
      <w:r>
        <w:t>Il résulte clairement des termes du contrat que l'investissement litigieux ne faisait l'objet d'aucune "garantie", la société anglaise s'engageant seulement à fournir ses meilleurs efforts pour rembourser à l'appelant le capital investi avec une éventuelle part de bénéfice.</w:t>
      </w:r>
    </w:p>
    <w:p>
      <w:r>
        <w:t>L'appelant a fait examiner ce contrat par son avocat français. Il s'est en outre écoulé environ un mois avant que la version finale du contrat ne lui soit envoyée et que l'appelant en accepte les termes. L'appelant a dès lors eu amplement le temps d'en étudier le contenu, avec le concours de son avocat, de sorte qu'il devait se rendre compte qu'il n'était pas fait mention d'une quelconque garantie. Le contrat mentionnait en outre expressément le fait que les parties ne comptaient sur aucune déclaration, assurance, ou forme de garantie donnée par un tiers, autre que ce qui était expressément mentionné dans l'accord.</w:t>
      </w:r>
    </w:p>
    <w:p>
      <w:r>
        <w:t>Dans ces conditions, l'appelant n'a pas démontré, ni même rendu vraisemblable, qu'il aurait pris une décision différente en ce qui concerne l'investissement litigieux, s'il avait été informé de manière complète au sujet de l'absence de garantie. Au contraire, à l'instar du premier juge, et sur la base du dossier et des pièces produites, il y a lieu de retenir que l'appelant a signé le contrat en toute connaissance de cause et qu'il a en dernier lieu renoncé à une quelconque garantie.</w:t>
      </w:r>
    </w:p>
    <w:p>
      <w:r>
        <w:t>Enfin, l'appelant se plaint de ce que la date d'échéance du contrat aurait été modifiée et prolongée d'une année à son insu. L'appelant, qui a signé le contrat plusieurs jours après avoir reçu la version finale, n'apporte toutefois aucun élément démontrant qu'il n'aurait pas eu connaissance de cette modification. Au demeurant, il ne soutient pas avoir subi un quelconque dommage en lien avec l'échéance du contrat, de sorte que ce point n'est pas pertinent en l'espèce.</w:t>
      </w:r>
    </w:p>
    <w:p>
      <w:r>
        <w:t>Pour les mêmes motifs, le fait que l'appelant n'ait pas pu prendre connaissance de la brochure relative au premier investissement proposé par le gérant n'est pas pertinent en l'espèce, l'appelant n'ayant finalement pas donné suite à cette première opportunité. Pour le surplus, l'appelant ne démontre pas que le gérant aurait omis de lui faire parvenir une brochure se rapportant au deuxième investissement litigieux. L'appelant n'allègue pas non plus, à juste titre, qu'il se serait basé sur les informations contenues dans la brochure relative à la première</w:t>
      </w:r>
    </w:p>
    <w:p>
      <w:r>
        <w:t>- 27/29 -</w:t>
      </w:r>
    </w:p>
    <w:p>
      <w:r>
        <w:t>C/9910/2010 opportunité d'investissement pour décider de l'investissement litigieux, puisqu'il n'a précisément pas été en mesure d'en prendre connaissance.</w:t>
      </w:r>
    </w:p>
    <w:p>
      <w:r>
        <w:t>Partant, les griefs de l'appelant, infondés, devront être rejetés et le jugement querellé confirmé.</w:t>
      </w:r>
    </w:p>
    <w:p>
      <w:r>
        <w:rPr>
          <w:b/>
        </w:rPr>
        <w:t>E. 9</w:t>
      </w:r>
    </w:p>
    <w:p>
      <w:r>
        <w:t>L'appelant reproche encore au Tribunal un défaut de motivation, sur trois points : i) le premier juge a retenu que ni "l'expert ni le demandeur n'[avaient] détaillé les actions ou omissions de la défenderesse qui seraient constitutifs de manquements à son devoir de diligence", ii) le premier juge a estimé que les éléments apportés à la procédure par l'appelant pour étayer son dommage étaient insuffisants, dans la mesure où il ne se basait que sur une seule étude comparative effectuée à sa demande par une analyste financière, iii) le premier juge n'a pas expliqué pourquoi il a appliqué la clause de limitation de responsabilité de l'art. 12 du contrat de gestion de fortune également au contrat de conseil en placement.</w:t>
      </w:r>
    </w:p>
    <w:p>
      <w:r>
        <w:t>L'appelant considère ne pas être en mesure de critiquer le jugement sur ces points, car il ignorerait ce qui lui est concrètement "reproché".</w:t>
      </w:r>
    </w:p>
    <w:p>
      <w:r>
        <w:rPr>
          <w:b/>
        </w:rPr>
        <w:t>E. 9.1</w:t>
      </w:r>
    </w:p>
    <w:p>
      <w:r>
        <w:t>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Selon la jurisprudence, la violation du droit d'être entendu - pour autant qu'elle ne soit pas d'une gravité particulière - est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135 I 279 consid. 2.6.1 et les arrêts cités; arrêt du Tribunal fédéral 8C_53/2012 du 6 juin 2012 consid. 6.1).</w:t>
      </w:r>
    </w:p>
    <w:p>
      <w:r>
        <w:rPr>
          <w:b/>
        </w:rPr>
        <w:t>E. 9.2</w:t>
      </w:r>
    </w:p>
    <w:p>
      <w:r>
        <w:t>En l'espèce, le Tribunal a notamment estimé que l'appelant n'avait pas détaillé les actions ou omissions de l'intimée qui seraient constitutives d'un manquement à son devoir de diligence, que les éléments apportés par l'appelant pour étayer son dommage étaient insuffisants et qu'il y avait lieu d'appliquer l'art. 12 du contrat de gestion également au contrat de conseil en placement.</w:t>
      </w:r>
    </w:p>
    <w:p>
      <w:r>
        <w:t>- 28/29 -</w:t>
      </w:r>
    </w:p>
    <w:p>
      <w:r>
        <w:t>C/9910/2010</w:t>
      </w:r>
    </w:p>
    <w:p>
      <w:r>
        <w:t>L'obligation de motiver impose uniquement au juge de mentionner les motifs qui l'ont guidé, mais non de les expliquer dans le moindre détail. Le premier juge a ainsi suffisamment motivé son jugement, indépendamment de la justesse de son raisonnement. L'appelant était parfaitement en mesure de critiquer l'argumentation du premier juge, ce qu'il a d'ailleurs fait.</w:t>
      </w:r>
    </w:p>
    <w:p>
      <w:r>
        <w:t>Le grief de l'appelant, infondé, doit donc être rejeté.</w:t>
      </w:r>
    </w:p>
    <w:p>
      <w:r>
        <w:rPr>
          <w:b/>
        </w:rPr>
        <w:t>E. 9.3</w:t>
      </w:r>
    </w:p>
    <w:p>
      <w:r>
        <w:t>A titre superfétatoire, même à considérer que le jugement querellé serait insuffisamment motivé sur ces points, ce qui n'est pas le cas en l'espèce, l'appelant a eu l'occasion de s'exprimer devant la Cour, qui dispose d'un plein pouvoir d'examen, de sorte qu'une éventuelle violation de son droit d'être entendu devrait être considérée comme réparée.</w:t>
      </w:r>
    </w:p>
    <w:p>
      <w:r>
        <w:rPr>
          <w:b/>
        </w:rPr>
        <w:t>E. 10</w:t>
      </w:r>
    </w:p>
    <w:p>
      <w:r>
        <w:t>Compte tenu de ce qui précède, le jugement querellé sera confirmé. Pour le surplus, il n'est pas nécessaire d'examiner les autres prétentions de l'appelant concernant les frais d'expertise et frais d'avocat encourus, le jugement querellé étant confirmé sur les questions de la responsabilité contractuelle de l'intimée.</w:t>
      </w:r>
    </w:p>
    <w:p>
      <w:r>
        <w:rPr>
          <w:b/>
        </w:rPr>
        <w:t>E. 11</w:t>
      </w:r>
    </w:p>
    <w:p>
      <w:r>
        <w:t>L'appelant, qui succombe entièrement en appel, sera condamné aux frais judiciaires d'appel, ceux-ci étant fixés à 20'000 fr., vu la valeur litigieuse totale de 985'968 fr. et les critères de l'art. 5 RTFMC (art. 17 et 35 RTFMC). L'appelant étant au bénéfice de l'assistance judiciaire limitée aux frais de justice et ayant été dispensé du paiement de ces frais, ils restent provisoirement à la charge du canton (art. 122 al. 1 let. b CPC).</w:t>
      </w:r>
    </w:p>
    <w:p>
      <w:r>
        <w:t>L'appelant sera en outre condamné aux dépens de sa partie adverse, arrêtés à 15'000 fr., débours et TVA compris (art. 95, 104 al. 1, 105 et 106 al. 1 CPC; art. 20, 25 et 26 LaCC; art. 85 al. 1 et 90 RTFMC). * * * * *</w:t>
      </w:r>
    </w:p>
    <w:p>
      <w:r>
        <w:t>- 29/29 -</w:t>
      </w:r>
    </w:p>
    <w:p>
      <w:r>
        <w:t>C/9910/2010 PAR CES MOTIFS, La Chambre civile : A la forme : Déclare recevable l'appel interjeté par A______ contre les chiffres 2, 3 et 4 du dispositif du jugement JTPI/7913/2013 rendu le 12 juin 2013 par le Tribunal de première instance dans la cause n° C/9910/2010-17. Au fond : Confirme ce jugement. Déboute les parties de toutes autres conclusions. Sur les frais : Arrête les frais judiciaires d'appel à 20'000 fr. et les met à la charge d'A______. Les laisse provisoirement à la charge de l'Etat. Condamne A______ à verser à B______SA 15'000 fr. à titre de dépens d'appel. Siégeant : Monsieur Grégory BOVEY, président; Madame Sylvie DROIN et Madame Alix FRANCOTTE CONUS, juges; Madame Nathalie DESCHAMPS, greffière.</w:t>
      </w:r>
    </w:p>
    <w:p>
      <w:r>
        <w:t>Le président : Grégory BOVEY</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