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ACJC/359/2015 vom 27. November 2014</w:t>
      </w:r>
    </w:p>
    <w:p>
      <w:r>
        <w:t>GE Cour de justice, 2014-11-27, FR</w:t>
      </w:r>
    </w:p>
    <w:p>
      <w:r>
        <w:rPr>
          <w:b/>
        </w:rPr>
        <w:t xml:space="preserve">Quelle: </w:t>
      </w:r>
      <w:r>
        <w:t>https://mcp.opencaselaw.ch/entscheid/ge_gerichte_ACJC_359_2015</w:t>
      </w:r>
    </w:p>
    <w:p>
      <w:r>
        <w:t>FR: GE_GERICHTE ACJC/359/2015 du 27 novembre 2014</w:t>
      </w:r>
    </w:p>
    <w:p>
      <w:r>
        <w:t>IT: GE_GERICHTE ACJC/359/2015 del 27 novembre 2014</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tant sur des questions non patrimoniales, telles que l'étendue du droit de visite sur un enfant mineur,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w:t>
      </w:r>
    </w:p>
    <w:p>
      <w:r>
        <w:rPr>
          <w:b/>
        </w:rPr>
        <w:t>E. 2</w:t>
      </w:r>
    </w:p>
    <w:p>
      <w:r>
        <w:t>Les parties étant toutes deux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w:t>
      </w:r>
    </w:p>
    <w:p>
      <w:r>
        <w:rPr>
          <w:b/>
        </w:rPr>
        <w:t>E. 3</w:t>
      </w:r>
    </w:p>
    <w:p>
      <w:r>
        <w:t>La Cour revoit la cause avec un plein pouvoir d'examen (art. 310 CPC).</w:t>
      </w:r>
    </w:p>
    <w:p>
      <w:r>
        <w:t>- 7/15 -</w:t>
      </w:r>
    </w:p>
    <w:p>
      <w:r>
        <w:t>C/4044/2014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w:t>
      </w:r>
    </w:p>
    <w:p>
      <w:r>
        <w:rPr>
          <w:b/>
        </w:rPr>
        <w:t>E. 4</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En l'espèce, les pièces versées par les parties devant la Cour permettent de déterminer la situation financière de chacune d'elles et comportent les données nécessaires pour statuer sur la quotité des aliments à verser pour l'entretien de l'enfant. Les documents concernés, ainsi que les éléments de faits qu'ils comportent, seront donc pris en considération.</w:t>
      </w:r>
    </w:p>
    <w:p>
      <w:r>
        <w:rPr>
          <w:b/>
        </w:rPr>
        <w:t>E. 5</w:t>
      </w:r>
    </w:p>
    <w:p>
      <w:r>
        <w:t>L'appelante remet en cause l'étendue du droit de visite de l'intimé tel que fixé par le premier juge.</w:t>
      </w:r>
    </w:p>
    <w:p>
      <w:r>
        <w:rPr>
          <w:b/>
        </w:rPr>
        <w:t>E. 5.1</w:t>
      </w:r>
    </w:p>
    <w:p>
      <w:r>
        <w:t>Selon l'art. 273 al. 1 CC, auquel renvoie l'art. 176 al. 3 CC, le père ou la mère qui ne détient pas l'autorité parentale ou la garde ainsi que l'enfant mineur ont</w:t>
      </w:r>
    </w:p>
    <w:p>
      <w:r>
        <w:t>- 8/15 -</w:t>
      </w:r>
    </w:p>
    <w:p>
      <w:r>
        <w:t>C/4044/2014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w:t>
      </w:r>
    </w:p>
    <w:p>
      <w:r>
        <w:rPr>
          <w:b/>
        </w:rPr>
        <w:t>E. 5.2</w:t>
      </w:r>
    </w:p>
    <w:p>
      <w:r>
        <w:t>En l'espèce, sur préavis du SPMi et compte tenu du fait que jusqu'alors les parties pratiquaient la garde alternée, le Tribunal a étendu le droit de visite du père à un week-end sur deux du vendredi à la sortie de l'école au lundi matin, retour à l'école, d'un soir, nuit incluse, chaque semaine, ainsi que la moitié des vacances scolaires. L'opposition de la mère à ce que le droit de visite du père s'exerce une nuit par semaine se fonde sur le fait que le père ne serait pas en mesure d'emmener l'enfant à ses activités sportives durant la semaine à cause de ses horaires de travail. Ce fait, contesté par l'intimé, n'est pas rendu vraisemblable. En outre, s'il est conseillé pour un enfant d'exercer régulièrement des activités sportives - ce que l'enfant fait deux à trois fois par semaine -, il est encore plus important que celui-ci soit en contact avec ses deux parents de manière régulière, ce d'autant plus qu'en l'espèce une garde alternée était pratiquée jusqu'au prononcé du jugement. Dès lors, l'exercice du droit de visite doit primer sur toute considération organisationnelle, ce d'autant plus que, pour le bien de l'enfant, il serait possible que sa mère le dépose à son activité sportive et que son père vienne le chercher à la fin du cours. De cette manière, l'intérêt de l'enfant se trouverait préservé tant du côté sportif que du côté relationnel. On relèvera que, de son côté, l'appelante n'emmène pas l'enfant à son cours de BMX lorsqu'il est en week-end chez elle, ce qui ne lui est pas reproché. Il est établi que l'enfant est perturbé par la séparation de ses parents et qu'il suit une psychothérapie pour cette raison. Cela étant, l'appelante ne rend pas vraisemblable qu'une séparation de plus de quinze jours serait préjudiciable à l'enfant, étant relevé qu'il est établi que le père sait en prendre soin et qu'il est peu vraisemblable que ce dernier puisse disposer de quatre semaines de vacances consécutives en été. Au vu de ce qui précède, la décision querellée sera confirmée sur ces points.</w:t>
      </w:r>
    </w:p>
    <w:p>
      <w:r>
        <w:rPr>
          <w:b/>
        </w:rPr>
        <w:t>E. 6</w:t>
      </w:r>
    </w:p>
    <w:p>
      <w:r>
        <w:t>L'appelante reproche au Tribunal de ne pas avoir condamné son époux à lui verser une contribution d'entretien pour elle-même et son enfant. Elle critique les revenus et les charges des parties tels que retenus par le premier juge.</w:t>
      </w:r>
    </w:p>
    <w:p>
      <w:r>
        <w:t>6.1.1 Si la suspension de la vie commune est fondée, le juge fixe la contribution pécuniaire à verser par l'une des parties à l'autre (art. 176 al. 1 ch1 1 CC) et il</w:t>
      </w:r>
    </w:p>
    <w:p>
      <w:r>
        <w:t>- 9/15 -</w:t>
      </w:r>
    </w:p>
    <w:p>
      <w:r>
        <w:t>C/4044/2014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6.1.2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Les frais de véhicule ne peuvent être pris en considération que si celui-ci est indis- pensable au débiteur personnellement ou nécessaire à l'exercice de sa profession</w:t>
      </w:r>
    </w:p>
    <w:p>
      <w:r>
        <w:t>- 10/15 -</w:t>
      </w:r>
    </w:p>
    <w:p>
      <w:r>
        <w:t>C/4044/2014 (ATF 110 III 17 consid. 2b; arrêts du Tribunal fédéral 5A_65/2013 du 4 septembre 2013 consid. 3.1.2; 5A_837/2010 du 11 février 2011 consid. 3.2).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d'un enfant sur le loyer du logement familial peut être fixée à 20% (BASTONS BULLETTI, L'entretien après divorce : méthodes de calcul, montant, durée et limites, in SJ 2007 p. 77 ss, note 140 p. 102). Fait parfois partie du minimum vital, le coût d'entretien d'un enfant mineur d'un premier lit dont le débirentier a la garde. Dès que la situation le permet, l'assistance versée à des tiers, tel qu'un enfant majeur à condition qu'elle ne dépasse pas une mesure raisonnable eu égard aux revenus du débiteur, est ajoutée aux charges incompressibles (BASTONS BULLETTI, op. cit., p. 91).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(arrêts du Tribunal fédéral 5A_259/2012 du 14 novembre 2012 consid. 5.2 et 5A_690/2010 du 21 avril 2011 consid. 3 = JdT 2012 II 302). 6.2.1 En l'espèce, depuis janvier 2014, l'intimé réalise un salaire mensuel net moyen de 5'276 fr. La présence de l'amie de l'intimé lors de l'entretien du SPMi ne rend pas vraisemblable que celle-ci partage l'appartement et les frais courants de celui-ci. En effet, cette femme accueille sa fille les week-ends et les deux garçons partagent déjà une chambre, ce qui ne rend pas plausible que les premières résident chez l'intimé. Les charges de l'intimé seront donc prises en compte dans leur intégralité. S'agissant des acomptes d'impôts de l'intimé, on ignore totalement sur quelle base la somme de 52 fr. 50 a été calculée par l'administration fiscale, étant relevé que les acomptes versés ne préjugent pas de la taxation finale et qu'à cette époque l'intimé pensait obtenir la garde de l'enfant. En revanche, la somme de 614 fr. estimée par le premier juge au moyen de la calculette online du site de l'Administration fiscale n'apparaît pas critiquable compte tenu des revenus et des charges de l'intimé. La prime d'assurance-ménage est comprise dans l'entretien de base selon les normes OP de sorte qu'il n'en sera pas tenu compte. Les autres charges retenues par le premier juge ne sont pas critiquées en appel.</w:t>
      </w:r>
    </w:p>
    <w:p>
      <w:r>
        <w:t>- 11/15 -</w:t>
      </w:r>
    </w:p>
    <w:p>
      <w:r>
        <w:t>C/4044/2014 Au vu de ce qui précède, les charges mensuelles de l'intimé s'élèvent à 4'109 fr. 25 et comprennent son loyer (1'862 fr.), sa prime d'assurance-maladie (363 fr. 25), ses frais de transport TPG (70 fr.), ses acomptes d'impôts cantonaux et fédéraux (614 fr.) ainsi que son entretien de base selon les normes OP (1'200 fr.). Il dispose dès lors d'un solde mensuel de 1'167 fr. (5'276 fr. − 4'109 fr.) 6.2.2 L'appelante a réalisé un salaire mensuel net moyen de 6'275 fr. en 2012, de 6'369 fr. en 2013 et de 5'945 fr. en 2014 compte tenu de son arrêt pour maladie. On ne saurait exiger d'elle qu'elle augmente ses revenus tant que durera son incapacité de travail. Les frais de loyer de l'appelante seront arrêtés à 1'273 fr. 50 compte tenu de la participation de l'enfant à cette charge à hauteur de 20%, montant articulé par les deux parties. Par ailleurs, c'est à juste titre que le premier juge a écarté les frais de véhicule de l'appelante pour limiter ses frais de transport à un abonnement TPG dès lors qu'elle en détient un (cf. déduction du prix d'un abonnement annuel TPG sur son salaire de mars 2014) et qu'elle dispose à moins de 10 minutes à pied de chez elle d'un arrêt pour le bus n° 5 qui dessert son lieu de travail (HUG) en moins de 20 minutes, ce en semaine comme le week-end. Si l'appelante devait revenir en urgence à la maison, il lui suffirait alors de prendre exceptionnellement un taxi. Les cours de natation et de football suivis par l'enfant se trouvent respectivement à 500 mètres et 1,3 kilomètre du domicile de l'appelante de sorte que ces distances peuvent être parcourues à pied. En outre, les consultations chez le pédopsychiatre ne sont, vraisemblablement, que temporaires. L'utilisation des transports publics peut donc être exigée en l'espèce. Enfin, comme pour l'intimé, il n'est pas tenu compte de la prime d'assurance-ménage comprise dans l'entretien de base selon les normes OP. Les autres charges retenues par le Tribunal ne sont pas critiquées en appel. Au vu de ce qui précède, les charges de l'appelante s'élèvent à 3'709 fr. 35, comprenant sa part du loyer (80% du loyer, soit 1'273 fr. 50), sa prime d'assurance-maladie (388 fr. 85), ses frais de transport TPG (70 fr.), ses acomptes d'impôts cantonaux et fédéraux (627 fr.) et son entretien de base selon les normes OP (1'350 fr.). Au vu de ce qui précède, le solde disponible de l'appelante s'élève actuellement à 2'236 fr. (5'945 fr. − 3'709 fr. 35) et sera d'environ 2'600 fr. dès qu'elle retravaillera. 6.2.3 La participation au loyer de l'enfant a été fixée à 20%, soit 318 fr. 50. L'enfant exerce des activités parascolaires qui ne constituent pas des charges incompressibles et ont été décidées par les parents de manière individuelle de sorte qu'il appartiendra à chacun d'eux d'en assumer les frais, dont on relèvera</w:t>
      </w:r>
    </w:p>
    <w:p>
      <w:r>
        <w:t>- 12/15 -</w:t>
      </w:r>
    </w:p>
    <w:p>
      <w:r>
        <w:t>C/4044/2014 qu'il ne s'agit pas de sommes importantes, sur son solde disponible. Les autres charges arrêtées par le premier juge ne sont pas critiquées en appel. Les charges de C______ s'élèvent donc à 802 fr. 60, comprenant sa participation au loyer (318 fr. 50), sa prime d'assurance-maladie (79 fr. 10), ses frais de transport TPG (45 fr.), les frais de psychologue non-remboursés par l'assurance- maladie (260 fr.) et son entretien de base selon les normes OP (400 fr.), sous déduction des allocations familiales (300 fr.). 6.3.1 L'appelante dispose d'un solde mensuel (2'236 fr., puis de 2'600 fr. prochainement) deux fois plus important que l'intimé (1'167 fr.), raison pour laquelle le Tribunal, après avoir procédé à un calcul global pour l'entretien de la famille, a retenu que l'intimé n'était redevable d'aucune contribution à l'entretien de celle-ci. Ce point de vue ne peut toutefois pas être suivi dès lors que la contribution due à l'entretien de l'enfant doit être examinée distinctement de celle éventuellement due au conjoint. A cela s'ajoute que l'intimé dispose d'un solde mensuel de plus de 1'000 fr., de sorte qu'il peut être exigé de lui qu'il participe financièrement à l'entretien de son enfant. L'appelante procure à l'enfant des soins en nature de manière prépondérante. Tenant compte de tous ces éléments, il se justifie de mettre la moitié des coûts financiers de l'enfant à la charge de l'intimé. Au vu de ce qui précède, ce dernier sera condamné à verser 400 fr. par mois à titre de contribution à l'entretien de son enfant. Les époux ayant pratiqué la garde alternée jusqu'au prononcé du jugement, rendu le 27 novembre 2014, la contribution d'entretien sera due dès le 1er décembre 2014. 6.3.2 En revanche, dès lors que l'appelante est en mesure de couvrir ses charges par ses revenus et qu'après couverture des charges de l'enfant elle disposera encore d'un solde de (2'237 fr. – 600 fr. = 1'637 fr. , puis de 2'600 fr. – 600 fr. = 2'000 fr. dès qu'elle retravaillera), soit d'une somme plus importante que celle de l'intimé après versement de la contribution à l'entretien de l'enfant (1'167 fr. – 200 fr. = 967 fr.), rien ne justifie que ce dernier soit condamné à lui verser une contribution à son entretien. Le jugement sera donc confirmé sur ce point.</w:t>
      </w:r>
    </w:p>
    <w:p>
      <w:r>
        <w:rPr>
          <w:b/>
        </w:rPr>
        <w:t>E. 7.1</w:t>
      </w:r>
    </w:p>
    <w:p>
      <w:r>
        <w:t>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w:t>
      </w:r>
    </w:p>
    <w:p>
      <w:r>
        <w:t>- 13/15 -</w:t>
      </w:r>
    </w:p>
    <w:p>
      <w:r>
        <w:t>C/4044/2014</w:t>
      </w:r>
    </w:p>
    <w:p>
      <w:r>
        <w:rPr>
          <w:b/>
        </w:rPr>
        <w:t>E. 7.2</w:t>
      </w:r>
    </w:p>
    <w:p>
      <w:r>
        <w:t>En l'espèce, les frais judiciaires de l'appel sont fixés à 800 fr. (art. 96, 104 al. 1, 105 et 106 CPC; art. 31 et 37 RTFMC) et mis à charge des parties par moitié, vu qu'aucune d'entre elles n'obtient entièrement gain de cause. L'intimé étant au bénéfice de l'assistance judiciaire, les frais dont il est débiteur seront provisoirement supportés par l'Etat (art. 122 al. 1 let. b et al. 2, 123 al. 1 CPC et 19 du Règlement sur l'assistance juridique et l'indemnisation des conseils juridiques et défenseurs d'office en matière civile, administrative et pénale [RAJ; E 2 05.04]). Pour des motifs d'équité liés à la nature du litige, les parties conserveront leurs propres dépens à leur charge (art. 95 al. 1 let. b et al. 3, 104 al. 1, 105 al. 2 et 107 al. 1 let. c CPC).</w:t>
      </w:r>
    </w:p>
    <w:p>
      <w:r>
        <w:rPr>
          <w:b/>
        </w:rPr>
        <w:t>E. 8</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- 14/15 -</w:t>
      </w:r>
    </w:p>
    <w:p>
      <w:r>
        <w:t>C/4044/2014 PAR CES MOTIFS, La Chambre civile : A la forme : Déclare recevable l'appel interjeté par A______ contre les chiffres 3 et 9 du jugement JTPI/15109/2014 rendu le 27 novembre 2014 par le Tribunal de première instance dans la cause C/4044/2014-5. Au fond : Annule le chiffre 9 de ce jugement en tant qu'il déboute A______ de ses conclusions en versement d'une contribution d'entretien en faveur de l'enfant C______. Cela fait et statuant à nouveau : Condamne B______ à verser, par mois et d'avance, dès le 1er décembre 2014, allocations familiales ou d'études non comprises, la somme de 400 fr. à titre de contribution à l'entretien de l'enfant C______. Confirme le jugement pour le surplus. Déboute les parties de toutes autres conclusions. Sur les frais : Arrête les frais judiciaires de l'appel à 800 fr., les met pour moitié à la charge de chacune des parties et dit qu'ils sont compensés avec l'avance de frais de 800 fr. fournie par A______, qui reste acquise à l'Etat de Genève. Condamne en conséquence les Services financiers du Pouvoir judiciaire à verser la somme de 400 fr. à A______. Dit que les frais judiciaires à charge de B______ sont provisoirement supportés par l'Etat de Genève. Dit que chacune des parties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- 15/15 -</w:t>
      </w:r>
    </w:p>
    <w:p>
      <w:r>
        <w:t>C/4044/2014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