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ACJC/357/2015 vom 30. Januar 2015</w:t>
      </w:r>
    </w:p>
    <w:p>
      <w:r>
        <w:t>GE Cour de justice, 2015-01-30, FR</w:t>
      </w:r>
    </w:p>
    <w:p>
      <w:r>
        <w:rPr>
          <w:b/>
        </w:rPr>
        <w:t xml:space="preserve">Quelle: </w:t>
      </w:r>
      <w:r>
        <w:t>https://mcp.opencaselaw.ch/entscheid/ge_gerichte_ACJC_357_2015</w:t>
      </w:r>
    </w:p>
    <w:p>
      <w:r>
        <w:t>FR: GE_GERICHTE ACJC/357/2015 du 30 janvier 2015</w:t>
      </w:r>
    </w:p>
    <w:p>
      <w:r>
        <w:t>IT: GE_GERICHTE ACJC/357/2015 del 30 gennaio 2015</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 à la forme.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w:t>
      </w:r>
    </w:p>
    <w:p>
      <w:r>
        <w:t>- 5/11 -</w:t>
      </w:r>
    </w:p>
    <w:p>
      <w:r>
        <w:t>C/1698/2015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précité, FF 2006 6841, p. 6986). Une partie de la doctrine est également de cet avis (FREIBURGHAUS/AFHELDT, in Kommentar zur Schweizerischen Zivilprozess- 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w:t>
      </w:r>
    </w:p>
    <w:p>
      <w:r>
        <w:t>- 6/11 -</w:t>
      </w:r>
    </w:p>
    <w:p>
      <w:r>
        <w:t>C/1698/2015 La jurisprudence précise que, pour être notoire, un renseignement ne doit pas être constamment présent à l'esprit, il suffit qu'il puisse être contrôlé par des publications accessibles à chacun, notamment sur internet (ATF 135 III 88 consid. 4.1, site de l'Université de Genève; arrêt du Tribunal fédéral 4A_645/2011 du 27 janvier 2012 consid. 3.4.2, site du Registre du commerce). De manière générale toutefois, les innombrables renseignements figurant sur internet, par exemple sur une page Facebook, ne peuvent pas être considérés comme notoires (ATF 138 I 1 consid. 2.4).</w:t>
      </w:r>
    </w:p>
    <w:p>
      <w:r>
        <w:rPr>
          <w:b/>
        </w:rPr>
        <w:t>E. 3.2</w:t>
      </w:r>
    </w:p>
    <w:p>
      <w:r>
        <w:t>En l'espèce, les faits nouveaux exposés par la recourante dans la partie en droit de son recours (p. 6) sont irrecevables, sauf dans la mesure où ils constituent des faits notoires (cf. ci-dessous, consid. 4.3.2).</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rPr>
          <w:b/>
        </w:rPr>
        <w:t>E. 4.2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w:t>
      </w:r>
    </w:p>
    <w:p>
      <w:r>
        <w:t>- 7/11 -</w:t>
      </w:r>
    </w:p>
    <w:p>
      <w:r>
        <w:t>C/1698/2015 Tribunal fédéral 7B.130/2001 du 4 juillet 2001 consid. 1). S'agissant d'avoirs bancaires, le débiteur doit indiquer la banque concernée (arrêt du Tribunal fédéral 5A_402/2008 du 15 décembre 2008 consid. 3.1). De son côté, le juge doit procéder à un examen sérieux des allégations du créancier et des documents produits;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5A_877/2011 du 5 mars 2012 consid. 2.1; 5A_870/2010 du 15 mars 2011 consid. 3.2).</w:t>
      </w:r>
    </w:p>
    <w:p>
      <w:r>
        <w:rPr>
          <w:b/>
        </w:rPr>
        <w:t>E. 4.3</w:t>
      </w:r>
    </w:p>
    <w:p>
      <w:r>
        <w:t>En l'espèce, afin de rendre vraisemblables ses allégués tels que repris ci-dessus dans la partie en fait (let. C. e, dernier paragraphe), la recourante a produit trois pièces désignées comme suit dans son bordereau de pièces accompagnant la requête: "Extrait du site Internet Wikipédia http://en.wikipedia.org/wiki/Lagardelist" (pièce 5), "Publication du magazine L______" (pièce 6) et "Extrait du site Public Intelligence http://publicintelligence.net/lagarde-list/" (pièce 7). La recourante soutient que sa pièce 6 rend vraisemblable d'une part que l'intimé détient un compte auprès de C______ à Genève et d'autre part que les parents et la sœur de celui-ci étaient également titulaires de comptes auprès de la même banque. Il s'agit d'une liste de 2059 noms, avec, pour la plupart, la mention du domaine d'activité, dont "E______ Retired/Insurance", "F______", "B______ Insurance" et "G______ Insurance".</w:t>
      </w:r>
    </w:p>
    <w:p>
      <w:r>
        <w:rPr>
          <w:b/>
        </w:rPr>
        <w:t>E. 4.3.1</w:t>
      </w:r>
    </w:p>
    <w:p>
      <w:r>
        <w:t>Il sied d'abord de relever que le seul article produit par la recourante (pièce 5) est extrait de Wikipédia, alors qu'il est notoire que les informations figurant sur ce site ne sont pas toujours basées sur des sources fiables. Par ailleurs, la recourante ne fournit aucune explication ni aucun élément autre que la liste elle- même (dont, il est vrai, toutes les pages portent, en bas à gauche pour les pages paires et en bas à droite pour les pages impaires, la mention "- L______ – 27 Οκτώβριος 2012"), aptes à rendre vraisemblable que la pièce 6 est le document qui a été publié dans le magazine grec "L______". De plus, la recourante ne donne aucune explication sur le fait que le document produit est incomplet, puisque ses pages sont numérotées de 12 à 30. Enfin, elle ne fournit aucune indication sur le site "Public Intelligence" - qui permet de télécharger en format "ZIP" un document identique à celui figurant sous pièce 6 - et sur la fiabilité de celui-ci (pièce 7). Il résulte de ce qui précède que les trois pièces produites, à elles-seules et sans de plus amples explications, ne suffisent pas à rendre vraisemblables les allégués 7 à</w:t>
      </w:r>
    </w:p>
    <w:p>
      <w:r>
        <w:t>- 8/11 -</w:t>
      </w:r>
    </w:p>
    <w:p>
      <w:r>
        <w:t>C/1698/2015</w:t>
      </w:r>
    </w:p>
    <w:p>
      <w:r>
        <w:rPr>
          <w:b/>
        </w:rPr>
        <w:t>E. 4.3.2</w:t>
      </w:r>
    </w:p>
    <w:p>
      <w:r>
        <w:t>Cela étant et par surabondance de moyens, la Cour examinera ci-après les allégués de la recourante à la lumière des faits notoires et des divers articles de presse relatant l'affaire FALCIANI et celle de "la liste Lagarde". Il est notoire que le Ministère public de la Confédération (ci-après : MPC) a ouvert une procédure pénale à la suite du vol de fichiers informatiques comprenant les noms de clients de la banque HSBC à Genève. Le MPC a adressé une demande d'entraide judiciaire urgente aux autorités françaises. Celle-ci a permis de procéder à l'audition du prévenu en France durant le mois de janvier 2009 et d'effectuer, en parallèle, une perquisition et des saisies à son domicile français. Après plusieurs rappels, le MPC a fini par obtenir, une année après, les actes d'exécution de sa demande d'entraide. A fin 2014, Hervé FALCIANI, ancien informaticien d'HSBC à Genève, a été mis en accusation en Suisse. Le MPC l'accuse d'avoir, à partir du mois de février 2008, transmis à des instituts bancaires libanais, à la Direction nationale d'enquêtes fiscales à Paris ainsi qu'à d'autres autorités étrangères des informations présentes dans les bases de données de son ancien employeur et qui portaient tant sur le fonctionnement de l'établissement que sur les relations avec la clientèle. S'agissant des informations proposées à l'étranger, le MPC reproche à l'accusé de les avoir transférées sur ses propres supports informatiques, déjà à partir d'octobre 2006 et jusqu'à son interpellation le 22 décembre 2008, en étant parfaitement conscient de l'illégalité de sa démarche au regard des processus et règles internes de la banque. Les informations en question représentent une importante quantité de données que l'accusé, sans y être autorisé, a traitées à partir de plusieurs systèmes séparés en les ordonnant différemment, c'est-à-dire en les mettant en relation. Il a ainsi rassemblé des informations tant personnelles que financières sur la clientèle de la banque, qui lui ont permis d'établir des profils complets de clients (Communiqué de presse du Ministère public de la Confédération du 11 décembre 2014, consultable sur le site officiel du MPC, www.bundesanwaltschaft.ch, sous la rubrique "Communiqués de presse"). Par ailleurs, l'existence de nombreux articles publiés dans la presse écrite, puis sur internet, en relation avec l'affaire susmentionnée et ses suites en Suisse, en France et en Grèce, constitue un fait notoire. En particulier, la presse a rapporté que selon le MPC, lorsque la France avait rendu en 2010 à la Suisse, après plus d’une année, les données dérobées par Hervé FALCIANI, celles-ci «avaient été modifiées, puisqu'il existait des différences entre le contenu des divers fichiers transmis par les autorités françaises, alors qu’ils auraient dû être en tous points semblables». Le 22 janvier 2014, le quotidien romand L'Agefi titrait : «La France a effectivement falsifié les listes de</w:t>
      </w:r>
    </w:p>
    <w:p>
      <w:r>
        <w:t>- 9/11 -</w:t>
      </w:r>
    </w:p>
    <w:p>
      <w:r>
        <w:t>C/1698/2015 Falciani». Selon le journal, l'article s'appuyait sur un rapport de l'Office fédéral de la police. Ce rapport constatait que les disques durs remis à la Suisse par l'Institut de recherche criminelle de la gendarmerie nationale française (IRCGN) «ne contiennent pas d'image forensique des disques durs originaux mais qu'il s'agit bien de clones (copie bit à bit sans empreinte numérique permettant d'attester l'intégrité des données)». Des fichiers ont ainsi été modifiés le 25 février 2009 et le 16 avril 2009, «soit à une date postérieure à la perquisition chez Falciani Hervé». En conclusion, l'Office fédéral de la police déplorait l'existence d'«une manipulation volontaire dont le mobile nous échappe» (articles parus dans L'Agefi le 31 janvier 2014: "Affaire Falciani. La question de la falsification des fichiers n'est pas close" et le 15 septembre 2014 : "Hervé Falciani. L'ex-salarié de HSBC Private Bank à Genève devra rendre des comptes à la justice en 2015", consultables sur le site internet www.agefi.com). Divers médias ont rapporté également qu'en 2010, Christine LAGARDE, à l'époque ministre française des finances, avait transmis à la Grèce un document sur une clé USB, contenant des données détaillées de quelque 2000 détenteurs grecs de comptes bancaires en Suisse. Cette liste provenait des données dérobées à la banque HSBC à Genève par Hervé FALCIANI en 2008 (article paru dans La Tribune de Genève du 25 octobre 2012: "La Grèce poursuit sa chasse à la fraude fiscale en Suisse", consultable sur le site internet www.tdg.ch). Parallèlement, le magazine grec "L______" avait publié une liste de 2059 noms de personnes soupçonnées d'évasion fiscale, appelée "Liste Lagarde", en expliquant que la liste lui avait été remise de façon anonyme (article paru le 29 octobre 2012 sur le site internet www.rts.ch: "Le journaliste grec qui a publié la "Liste Lagarde" a été relâché"). D'après l'article de la Tribune de Genève précité, le ministre grec des finances avait indiqué qu'il demanderait une nouvelle fois cette liste aux autorités françaises, les deux précédents ministres ayant déclaré l'un l'avoir perdue, l'autre ne pas être sûr de son authenticité. L'auteur de l'article concluait : "Tour à tour égarées, retrouvées et manipulées, ces données sèment la confusion : difficile de déterminer qui a mis la main sur le document original et qui en a pris connaissance de manière «informelle»". D'autres médias rapportaient que le listing des évadés fiscaux grecs en Suisse avait été falsifié (article du 2 janvier 2013 : "La liste Lagarde des évadés fiscaux grecs aurait été falsifiée", consultable sur le site internet www.myeurop.info; article du 28 décembre 2012: "Exil fiscal : un ex-ministre grec accusé d'avoir falsifié la «liste Lagarde»", consultable sur le site internet www.lemonde.fr). Les éléments qui précèdent ne permettent pas de retenir, même sous l'angle de la vraisemblance, l'authenticité de la liste publiée par le magazine grec "L______" (dont l'on ignore déjà si elle est identique à celle remise par Christine LAGARDE aux autorités grecques) et la précision, l'exactitude, la validité et donc la</w:t>
      </w:r>
    </w:p>
    <w:p>
      <w:r>
        <w:t>- 10/11 -</w:t>
      </w:r>
    </w:p>
    <w:p>
      <w:r>
        <w:t>C/1698/2015 crédibilité des données qu'elle contient. Dans ces conditions, il n'y a pas lieu d'attribuer à ladite liste une quelconque valeur probante quant à la vraisemblance de l'existence en Suisse de biens appartenant aux personnes qui y figurent. La question de l'admissibilité en procédure civile d'une pièce qui a été obtenue à l'origine au moyen d'un acte illicite peut ainsi demeurer ouverte. En définitive, c'est à juste titre que le Tribunal a considéré que la recourante n'avait pas rendu vraisemblable l'existence en Suisse de biens de l'intimé, et/ou de membres décédés de sa famille, et qu'il a ainsi rejeté la requête de séquestre. Il n'est ainsi pas nécessaire d'examiner la question préalable de la reconnaissance en Suisse de l'arrêt de la Cour d'appel d'Athènes du 28 septembre 2007. Le recours sera ainsi rejeté. 5. Les frais judiciaires du recours seront arrêtés à 2'250 fr. (art. 48 et 61 al. 1 OELP) et mis à la charge de la recourante qui succombe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- 11/11 -</w:t>
      </w:r>
    </w:p>
    <w:p>
      <w:r>
        <w:t>C/1698/2015 PAR CES MOTIFS, La Chambre civile : A la forme : Déclare recevable le recours interjeté le 16 février 2015 par A______ contre l'ordonnance SQ/41/2015 rendue le 2 février 2015 par le Tribunal de première instance dans la cause C/1698/2015-4 SQP. Au fond : Rejette ce recours. Déboute les parties de toutes autres conclusions. Sur les frais : Arrête les frais judiciaires à 2'250 fr., les met à la charge d'A______ et dit qu'ils sont compensés avec l'avance de frais fournie par celle-ci, qui reste acquise à l'Etat de Genève.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de la requête de séquestre, étant rappelé que le juge n'a pas à compléter d'office une requête lacunaire. Le recours devrait être rejeté pour ce motif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