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ACJC/355/2024 vom 17. November 2023</w:t>
      </w:r>
    </w:p>
    <w:p>
      <w:r>
        <w:t>GE Cour de justice, 2023-11-17, FR</w:t>
      </w:r>
    </w:p>
    <w:p>
      <w:r>
        <w:rPr>
          <w:b/>
        </w:rPr>
        <w:t xml:space="preserve">Quelle: </w:t>
      </w:r>
      <w:r>
        <w:t>https://mcp.opencaselaw.ch/entscheid/ge_gerichte_ACJC_355_2024</w:t>
      </w:r>
    </w:p>
    <w:p>
      <w:r>
        <w:t>FR: GE_GERICHTE ACJC/355/2024 du 17 novembre 2023</w:t>
      </w:r>
    </w:p>
    <w:p>
      <w:r>
        <w:t>IT: GE_GERICHTE ACJC/355/2024 del 17 novembre 2023</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écrit et motivé, doit être introduit auprès de l'instance de recours dans les dix jours à compter de la notification de la décision motivée (art. 321 al. 1 et</w:t>
      </w:r>
    </w:p>
    <w:p>
      <w:r>
        <w:rPr>
          <w:b/>
        </w:rPr>
        <w:t>E. 1.2</w:t>
      </w:r>
    </w:p>
    <w:p>
      <w:r>
        <w:t>Les conclusions, les allégations de faits et les preuves nouvelles sont irrecevables (art. 326 al. 1 CPC). La question de savoir si l'allégation selon laquelle le contrat du 19 janvier 2019 conclu entre les parties serait un faux est nouvelle et peut demeurer indécise, comme il sera vu ci-après.</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t>- 6/10 -</w:t>
      </w:r>
    </w:p>
    <w:p>
      <w:r>
        <w:t>C/10934/2023</w:t>
      </w:r>
    </w:p>
    <w:p>
      <w:r>
        <w:rPr>
          <w:b/>
        </w:rPr>
        <w:t>E. 1.4</w:t>
      </w:r>
    </w:p>
    <w:p>
      <w:r>
        <w:t>La procédure sommaire étant applicable, la preuve des faits allégués doit être apportée par titres (art. 254 al. 1 CPC). Les maximes des débats et de disposition s'appliquent (art. 55 al. 1, 255 let. a a contrario et art. 58 al. 1 CPC).</w:t>
      </w:r>
    </w:p>
    <w:p>
      <w:r>
        <w:rPr>
          <w:b/>
        </w:rPr>
        <w:t>E. 2</w:t>
      </w:r>
    </w:p>
    <w:p>
      <w:r>
        <w:t>La recourante fait grief au Tribunal d'avoir considéré que l'intimée était au bénéfice d'une reconnaissance de dette, alors qu'il n'y avait pas identité entre la poursuivie et la débitrice (qui était E______ SA) et de n'avoir pas retenu que la dette, qui avait été réduite, était éteinte. 2.1.1 Le créancier dont la poursuite se fonde sur une reconnaissance de dette constatée par acte authentique ou sous seing privé peut requérir la mainlevée provisoire (art. 82 al. 1 LP). Le juge la prononce si le débiteur ne rend pas immédiatement vraisemblable sa libération (art. 82 al. 2 LP).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Une reconnaissance de dette peut résulter d'un ensemble de pièces dans la mesure où il en ressort les éléments nécessaires (ATF 139 III 297 consid. 2.3.1; arrêt du Tribunal fédéral 5A_388/2019 du</w:t>
      </w:r>
    </w:p>
    <w:p>
      <w:r>
        <w:rPr>
          <w:b/>
        </w:rPr>
        <w:t>E. 2.2</w:t>
      </w:r>
    </w:p>
    <w:p>
      <w:r>
        <w:t>En l'espèce, comme relevé par le premier juge, l'intimée est au bénéfice de deux contrats d'entreprise, à teneur quasi identique, portant vraisemblablement sur la même promotion immobilière, conclus avec des maîtres d'ouvrage différents, sans qu'il soit possible de comprendre l'articulation entre ceux-ci. Les montants perçus par l'intimée ont été versés indifféremment par l'un et l'autre maîtres d'ouvrage partie à ces contrats. Il est en outre fait mention de versements par des tiers à des tiers, ainsi que de bons d'achat, qui semblent s'inscrire dans le cadre du mandat confié à l'intimée. Le prix de l'ouvrage visé par un des contrats a été réduit de 200'000 fr., alors que la garantie fournie porte sur le montant initial. Le total des montants versés par la recourante n'est pas facilement déterminable, les parties se limitant dans leurs écritures à énoncer un montant global, sans se référer de manière détaillée à des pièces et des montants précis, et en renvoyant sans autres explications à une liasse de documents, difficilement compréhensibles. Il résulte de ce qui précède que la mainlevée provisoire n'aurait pas dû être prononcée sur la base du contrat conclu entre les parties, le dossier présentant de multiples incertitudes, pourtant relevées par le Tribunal, qu'il appartiendra au juge du fond d'éclaircir cas échéant afin de déterminer les relations entre les parties, le prix convenu et les montants versés. Le recours est fondé. Le jugement entrepris sera annulé et il sera statué à nouveau (art. 327 al. 3 let. b CPC) en ce que sens que l'intimée sera déboutée des fins de sa requête de mainlevée provisoire. 3. 3.1 Si l’instance de recours statue à nouveau, elle se prononce sur les frais de première instance (art. 318 al. 3 CPC, applicable par analogie: JEANDIN in Code de procédure civile, Commentaire romand, 2ème éd., 2019, n. 9 ad art. 327 CPC).</w:t>
      </w:r>
    </w:p>
    <w:p>
      <w:r>
        <w:t>- 8/10 -</w:t>
      </w:r>
    </w:p>
    <w:p>
      <w:r>
        <w:t>C/10934/2023 En l'espèce, le montant des frais judiciaires arrêté par le Tribunal, soit 1'500 fr., est conforme aux normes applicables (art. 48 al. 1 OELP) et n'est pas critiqué en tant que tel. Au vu de l'annulation du jugement entrepris, ces frais seront mis à la charge de l'intimée, qui succombe (art. 106 al. 1 CPC). Ils seront compensés avec l'avance de frais fournie par elle, qui demeure acquise à l'Etat de Genève (art. 111 al. 1 CPC). L'intimée sera en outre condamnée à verser à la recourante la somme de 2'500 fr. débours et TVA compris, à titre de dépens de première instance (art. 106 al. 2; art. 23 al. 1 LaCC), compte tenu de l'activité déployée par le conseil de celle-ci et de la complexité relative de la cause.</w:t>
      </w:r>
    </w:p>
    <w:p>
      <w:r>
        <w:t>Les chiffres 2 à 4 du dispositif du jugement entrepris seront réformés en ce sens. 3.2 Les frais judiciaires de recours, comprenant les frais de la présente décision à l'exclusion de ceux de la décision rendue sur effet suspensif sur lesquels il a déjà été statué, seront arrêtés à 2'250 fr. (art. 48 et 61 OELP) et compensés avec l'avance versée par la recourante, qui demeure acquise à l'Etat de Genève (art. 111 al. 1 CPC). Ces frais seront mis à la charge de l'intimée, qui succombe, compensés avec l'avance fournie par la recourante, et l'itnimée sera condamnée à les verser à à cette dernière (art. 111 al. 2 CPC). L'intimée sera en outre condamnée à verser à la recourante un montant de 1'500 fr. à titre de dépens de recours, débours et TVA compris (art. 96 et 105al. 2 CPC; art. 25 et 26 LaCC). * * * * *</w:t>
      </w:r>
    </w:p>
    <w:p>
      <w:r>
        <w:t>- 9/10 -</w:t>
      </w:r>
    </w:p>
    <w:p>
      <w:r>
        <w:t>C/10934/2023 PAR CES MOTIFS, La Chambre civile :</w:t>
      </w:r>
    </w:p>
    <w:p>
      <w:r>
        <w:t>A la forme : Déclare recevable le recours interjeté le 1er décembre 2023 par A______ SA contre le jugement JTPI/13376/2023 rendu le 17 novembre 2023 par le Tribunal de première instance dans la cause C/10934/2023–S1 SML. Au fond : Annule ce jugement. Cela fait, statuant à nouveau: Rejette la requête de mainlevée formée le 19 mai 2023 par B______ SA dans le cadre de la poursuite n° 1______. Arrête les frais judiciaires de première instance à 1'500 fr., les compense avec l'avance fournie, et les met à la charge de B______ SA. Condamne B______ SA à verser à A______ SA la somme de 2'500 fr. à titre de dépens de première instance. Sur les frais de recours : Arrête les frais judiciaires de recours à 2'250 fr., les compense avec l'avance fournie et les met à la charge de B______ SA. Condamne B______ SA à verser à A______ SA la somme de 2'250 fr. à titre de remboursement de son avance. Condamne B______ SA à verser à A______ SA la somme de 1'500 fr. à titre de dépens de recours. Déboute les parties de toutes autre conclusions. Siégeant : Madame Pauline ERARD, présidente; Madame Sylvie DROIN, Madame Nathalie LANDRY-BARTHE, juges; Madame Laura SESSA, greffière. La présidente : Pauline ERARD</w:t>
      </w:r>
    </w:p>
    <w:p>
      <w:r>
        <w:t>La greffière : Laura SESSA</w:t>
      </w:r>
    </w:p>
    <w:p>
      <w:r>
        <w:t>- 10/10 -</w:t>
      </w:r>
    </w:p>
    <w:p>
      <w:r>
        <w:t>C/10934/2023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janvier 2020 consid. 4.1.2). Le contrat d'entreprise vaut reconnaissance de dette pour le prix convenu, si l'entrepreneur établit avoir exécuté sa prestation (ABBET/VEUILLET, La mainlevée provisoire, 2ème éd. 2022, n. 183 ad art. 82 LP). 2.1.2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w:t>
      </w:r>
    </w:p>
    <w:p>
      <w:r>
        <w:t>- 7/10 -</w:t>
      </w:r>
    </w:p>
    <w:p>
      <w:r>
        <w:t>C/10934/2023 Le juge de la mainlevée n'a pas à revoir ou à interpréter le titre qui lui est produit; il ne lui appartient pas non plus de trancher de délicates question de droit matériel ou pour la solution desquelles le pouvoir d'appréciation joue un rôle important, la décision sur de telles questions étant réservée au juge du fond (ABBET/VEUILLET, op. cit., n. 106 ad art. 84 LP). Le juge de la mainlevée ne peut prendre en compte que les éléments intrinsèques au titre, à l'exclusion des éléments extrinsèques qui échappent à son pouvoir d'examen (ATF 145 III 20 consid. 4.3.3). Lors de la détermination de la volonté des parties, le juge doit tenir compte non seulement de la lettre pure, mais aussi du but du contrat, tout en étant précisé qu'il ne lui appartient pas de déterminer la volonté des parties ou d'interpréter le titre de manière exhaustive (arrêt du Tribunal fédéral 5A_272/2022 du 4 août 2022 consid. 6.1.3). Le juge prononce la mainlevée provisoire si le débiteur ne rend pas immédiatement vraisemblable sa libération (art. 82 al. 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