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ACJC/355/2022 vom 14. März 2022</w:t>
      </w:r>
    </w:p>
    <w:p>
      <w:r>
        <w:t>GE Cour de justice, 2022-03-14, FR</w:t>
      </w:r>
    </w:p>
    <w:p>
      <w:r>
        <w:rPr>
          <w:b/>
        </w:rPr>
        <w:t xml:space="preserve">Quelle: </w:t>
      </w:r>
      <w:r>
        <w:t>https://mcp.opencaselaw.ch/entscheid/ge_gerichte_ACJC_355_2022</w:t>
      </w:r>
    </w:p>
    <w:p>
      <w:r>
        <w:t>FR: GE_GERICHTE ACJC/355/2022 du 14 mars 2022</w:t>
      </w:r>
    </w:p>
    <w:p>
      <w:r>
        <w:t>IT: GE_GERICHTE ACJC/355/2022 del 14 marzo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A l'instar de ce qui prévaut en matière de contestation portant sur la validité d'une résiliation de bail, la valeur litigieuse, liée à une action en constatation de l'existence d'un bail,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137 III 389 et 136 III 96 consid. 1.1; arrêts du Tribunal fédéral 4A_367/2010 du 4 octobre 2010 consid. 1.1; 4A_127/2008 du 2 juin 2008 consid. 1.1; 4A_516/2007 du 6 mars 2008 consid. 1.1).</w:t>
      </w:r>
    </w:p>
    <w:p>
      <w:r>
        <w:t>- 5/8 -</w:t>
      </w:r>
    </w:p>
    <w:p>
      <w:r>
        <w:t>C/17181/2020</w:t>
      </w:r>
    </w:p>
    <w:p>
      <w:r>
        <w:rPr>
          <w:b/>
        </w:rPr>
        <w:t>E. 1.2</w:t>
      </w:r>
    </w:p>
    <w:p>
      <w:r>
        <w:t>En l'espèce, la demande vise à faire constater l'existence d'un contrat de bail entre les parties. L'appelante allègue à ce titre l'existence d'un loyer de 1'100 fr. par mois, soit 13'200 fr. par année. En prenant en compte la période de protection de trois ans, la valeur litigieuse peut se chiffrer à 39'600 fr., de sorte que le seuil de 10'000 fr. est atteint.</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reproche aux premiers juges une violation de l'art. 59 al. 2 let. a CPC, au motif qu'elle disposerait selon elle d'un intérêt à faire constater l'existence d'un contrat de bail au niveau civil, afin de nier l'infraction de menace ou de contrainte qui lui est reprochée dans le cadre de la procédure pénale actuellement pendante.</w:t>
      </w:r>
    </w:p>
    <w:p>
      <w:r>
        <w:rPr>
          <w:b/>
        </w:rPr>
        <w:t>E. 2.1.1</w:t>
      </w:r>
    </w:p>
    <w:p>
      <w:r>
        <w:t>A teneur de l'art. 88 CPC, le demandeur intente une action en constatation de droit pour faire constater par un tribunal l'existence ou l'inexistence d'un droit ou d'un rapport de droit. Au regard du texte légal, les questions de fait ne peuvent pas faire l'objet d'une action en constatation (CHABLOZ/COPT in Petit commentaire CPC [PC-CPC], 2021, n. 4 et 5 ad art. 88 CPC).</w:t>
      </w:r>
    </w:p>
    <w:p>
      <w:r>
        <w:rPr>
          <w:b/>
        </w:rPr>
        <w:t>E. 2.1.2</w:t>
      </w:r>
    </w:p>
    <w:p>
      <w:r>
        <w:t>Selon la jurisprudence, la partie qui initie une telle procédure doit avoir un intérêt à la constatation (ATF 144 III 175 consid. 5; 136 III 523 consid. 2; PC- CPC, n. 8 ad art. 88 CPC), concrétisant ainsi l'expression de l'intérêt digne de protection figurant à l'art. 59 al. 2 let. a CPC, qui est une des conditions de la recevabilité de l'action. L'action en constatation doit, pour constituer un intérêt digne de protection, produire des effets juridiques légitimes pour le demandeur, qui doivent exister encore au moment de la décision (ATF 116 II 351 consid 3c). Elle n'a pas pour objectif de trancher des questions juridiques abstraites sans effets sur des rapports de droit concret. Lorsque plusieurs actions ou procédures entrent en concurrence, il convient de s'en tenir au principe de subsidiarité de l'action en constatation (ATF 122 III 279 consid. 3a; PC-CPC, op. cit., n. 13 à 15 ad art. 88 CPC). Il n'existe pas d'intérêt digne de protection à la constatation de la validité d'une sous-location de durée indéterminée (arrêt du Tribunal fédéral 4A_316/2015 du 9 octobre 2015 consid. 1.2).</w:t>
      </w:r>
    </w:p>
    <w:p>
      <w:r>
        <w:t>- 6/8 -</w:t>
      </w:r>
    </w:p>
    <w:p>
      <w:r>
        <w:t>C/17181/2020 Il appartient au demandeur de l'action d'apporter la preuve de l'intérêt digne de protection (ATF 127 III 481 consid. 1).</w:t>
      </w:r>
    </w:p>
    <w:p>
      <w:r>
        <w:rPr>
          <w:b/>
        </w:rPr>
        <w:t>E. 2.1.3</w:t>
      </w:r>
    </w:p>
    <w:p>
      <w:r>
        <w:t>La question de la recevabilité de l'action doit être examinée d'office par le juge (art. 60 CPC), ceci à n'importe quel stade de la procédure (FF 2006 p. 6891).</w:t>
      </w:r>
    </w:p>
    <w:p>
      <w:r>
        <w:rPr>
          <w:b/>
        </w:rPr>
        <w:t>E. 2.1.4</w:t>
      </w:r>
    </w:p>
    <w:p>
      <w:r>
        <w:t>Le principe de l'indépendance entre les juridictions civile et pénale (art. 53 CO) demeure valable sous l'angle du CPC (WERRO in Commentaire romand : CO I [CR-CO I], 2012, 2e éd., n. 4 ad art. 53 CO). Au regard du principe de l'unité de l'ordre juridique, les autorités judiciaires doivent favoriser les solutions visant l'intérêt général à prévenir des décisions de justice divergentes de différentes autorités, notamment en lien avec les constatations de fait (ATF 139 II 95 consid. 3.2; 137 I 363 consid 2.3.2; arrêt du Tribunal fédéral 4A_22/2020 du 28 février 2020 consid. 6).</w:t>
      </w:r>
    </w:p>
    <w:p>
      <w:r>
        <w:rPr>
          <w:b/>
        </w:rPr>
        <w:t>E. 2.2</w:t>
      </w:r>
    </w:p>
    <w:p>
      <w:r>
        <w:t>En vertu de l'art. 181 CP, réprimant la contrainte,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L'infraction de contrainte est une atteinte illicite à la formation de la volonté d'une personne ou la réalisation de cette volonté par l'usage de la violence, par la menace d'un dommage sérieux ou en entravant de quelque autre manière cette liberté d'action et de décision. Elle suppose la réalisation, notamment, de quatre éléments constitutifs objectifs, à savoir un moyen de contrainte (1), le caractère illicite de celui-ci (2), un comportement induit par la contrainte (3) et un lien de causalité entre les éléments précités (4). L'illicéité du moyen de contrainte peut survenir en lien avec le moyen utilisé, le but poursuivi ou une disproportion entre les moyens utilisés et le but poursuivi (cf. sur le sujet : DUPUIS/MOREILLON et alii (dir), Petit commentaire : code pénal [PC-CP], 2017, n. 3 et 20 à 31 ad art. 181 CP; CORBOZ, Les infractions en droit suisse, 2002, n. 19 à 31 ad art. 181 CP; HURTADO POZO, Droit pénal : partie spéciale, 2009, n. 2424 ss).</w:t>
      </w:r>
    </w:p>
    <w:p>
      <w:r>
        <w:rPr>
          <w:b/>
        </w:rPr>
        <w:t>E. 2.3</w:t>
      </w:r>
    </w:p>
    <w:p>
      <w:r>
        <w:t>L'appelante ne démontre pas en quoi l'existence ou non d'un contrat de bail entre les parties serait susceptible d'exercer une influence décisive sur la procédure pénale actuellement pendante, en lien avec l'infraction de contrainte dont elle est prévenue, partant son intérêt à agir. Il ressort du procès-verbal d'audience du Ministère public du 15 décembre 2020, qu'il lui est en particulier reproché, par un acte de contrainte illicite, d'avoir obtenu de fausses quittances de loyer de l'intimée, afin d'augmenter l'aide obtenue à ce titre de la part de l'Hospice général, en guise de remboursement de ses frais de logement.</w:t>
      </w:r>
    </w:p>
    <w:p>
      <w:r>
        <w:t>- 7/8 -</w:t>
      </w:r>
    </w:p>
    <w:p>
      <w:r>
        <w:t>C/17181/2020 Au regard de ce qui précède, la qualification juridique de l'éventuel contrat existant entre l'appelante et l'intimée n'apparaît pas déterminante au regard d'éléments constitutifs de l'infraction, dont l'intimée est prévenue.</w:t>
      </w:r>
    </w:p>
    <w:p>
      <w:r>
        <w:rPr>
          <w:b/>
        </w:rPr>
        <w:t>E. 2.4</w:t>
      </w:r>
    </w:p>
    <w:p>
      <w:r>
        <w:t>Par principe, l'établissement des faits en lien avec une infraction pénale est du ressort des autorités de poursuites pénales, conformément à la maxime de l'instruction (cf. art. 6 al. 1 CPP), et non du juge civil. Même en admettant, comme le soutient l'appelante, que l'existence d'un contrat de bail serait décisive dans la procédure pénale, celle-ci pourrait être établie durant l'instruction conduite par le Ministère public. A tout le moins, l'appelante n'explique pas en quoi il existerait une impossibilité à ce propos qui nécessiterait la saisine des juridictions civiles dans le cas d'espèce, étant en outre tenu compte du caractère subsidiaire de l'action en constatation.</w:t>
      </w:r>
    </w:p>
    <w:p>
      <w:r>
        <w:rPr>
          <w:b/>
        </w:rPr>
        <w:t>E. 2.5</w:t>
      </w:r>
    </w:p>
    <w:p>
      <w:r>
        <w:t>Faute d'un intérêt digne de protection, c'est à bon droit que les premiers juges ont déclaré l'action irrecevable. Le jugement querellé sera ainsi confirmé.</w:t>
      </w:r>
    </w:p>
    <w:p>
      <w:r>
        <w:rPr>
          <w:b/>
        </w:rPr>
        <w:t>E. 3</w:t>
      </w:r>
    </w:p>
    <w:p>
      <w:r>
        <w:t>A teneur de l'art. 22 al. 1 LaCC, il n'est pas prélevé de frais dans les causes soumises à la juridiction des baux et loyers (ATF 139 III 182 consid. 2.6). * * * * *</w:t>
      </w:r>
    </w:p>
    <w:p>
      <w:r>
        <w:t>- 8/8 -</w:t>
      </w:r>
    </w:p>
    <w:p>
      <w:r>
        <w:t>C/17181/2020</w:t>
      </w:r>
    </w:p>
    <w:p>
      <w:r>
        <w:t>PAR CES MOTIFS, La Chambre des baux et loyers :</w:t>
      </w:r>
    </w:p>
    <w:p>
      <w:r>
        <w:t>A la forme : Déclare recevable l'appel interjeté le 24 novembre 2021 par A______ contre le jugement JTBL/861/2021 rendu le 20 octobre 2021 par le Tribunal des baux et loyers dans la cause C/17181/2020-1-OSD. Au fond : Confirme ce jugement. Dit que la procédure est gratuite. Déboute les parties de toutes autres conclusions. Siégeant : Madame Nathalie LANDRY‐ BARTHE, présidente; Madame Sylvie DROIN et Monsieur Laurent RIEBEN, juges; Monsieur Grégoire CHAMBAZ et Monsieur Jean-Philippe ANTHONIOZ,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