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ACJC/354/2020 vom 20. April 2020</w:t>
      </w:r>
    </w:p>
    <w:p>
      <w:r>
        <w:t>GE Cour de justice, 2020-04-20, FR</w:t>
      </w:r>
    </w:p>
    <w:p>
      <w:r>
        <w:rPr>
          <w:b/>
        </w:rPr>
        <w:t xml:space="preserve">Quelle: </w:t>
      </w:r>
      <w:r>
        <w:t>https://mcp.opencaselaw.ch/entscheid/ge_gerichte_ACJC_354_2020</w:t>
      </w:r>
    </w:p>
    <w:p>
      <w:r>
        <w:t>FR: GE_GERICHTE ACJC/354/2020 du 20 avril 2020</w:t>
      </w:r>
    </w:p>
    <w:p>
      <w:r>
        <w:t>IT: GE_GERICHTE ACJC/354/2020 del 20 aprile 2020</w:t>
      </w:r>
    </w:p>
    <w:p>
      <w:pPr>
        <w:pStyle w:val="Heading2"/>
      </w:pPr>
      <w:r>
        <w:t>Erwägungen</w:t>
      </w:r>
    </w:p>
    <w:p>
      <w:r>
        <w:rPr>
          <w:b/>
        </w:rPr>
        <w:t>E. 1.1</w:t>
      </w:r>
    </w:p>
    <w:p>
      <w:r>
        <w:t>L'appel est recevable contre les décisions finales de première instance (art. 308 al. 1 let. a CPC) dans les causes patrimoniales dont la valeur, au dernier état des conclusions de première instance, est de 10'000 fr. au moins (art. 308 al. 2 CPC). La cause, qui concerne les contributions d'entretien en faveur d'un enfant majeur, est de nature patrimoniale. La valeur capitalisée de celles-ci au sens de l'art. 92 CPC est en l'espèce supérieure à 10'000 fr., compte tenu des montants litigieux devant le premier juge. La voie de l'appel est dès lors ouverte.</w:t>
      </w:r>
    </w:p>
    <w:p>
      <w:r>
        <w:rPr>
          <w:b/>
        </w:rPr>
        <w:t>E. 1.2</w:t>
      </w:r>
    </w:p>
    <w:p>
      <w:r>
        <w:t>La procédure simplifiée s'applique aux procédures indépendantes, à savoir celles qui ne portent que sur les prétentions de l'enfant relevant du droit de la famille, y compris la prétention en aliments de l'enfant majeur (art. 295 CPC; Jeandin, in CPC, Code de procédure civile commenté, Bohnet/ Haldy/Jeandin/ Schweizer/Tappy [éd.], 2011, n. 2 ad art. 295 CPC et la référence citée). Le juge établit les faits d'office, il n'est pas lié par les conclusions des parties (maximes inquisitoire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w:t>
      </w:r>
    </w:p>
    <w:p>
      <w:r>
        <w:t>- 7/14 -</w:t>
      </w:r>
    </w:p>
    <w:p>
      <w:r>
        <w:t>C/23164/2017</w:t>
      </w:r>
    </w:p>
    <w:p>
      <w:r>
        <w:rPr>
          <w:b/>
        </w:rPr>
        <w:t>E. 2</w:t>
      </w:r>
    </w:p>
    <w:p>
      <w:r>
        <w:t>2.1.1.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Les père et mère sont déliés de leur obligation d'entretien dans la mesure où l'on peut attendre de l'enfant qu'il subvienne à son entretien par le produit de son travail ou par ses autres ressources (art. 276 al. 3 CC).</w:t>
      </w:r>
    </w:p>
    <w:p>
      <w:r>
        <w:t>L'art. 285 al. 1 CC dispose, quant à lui, que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2.1.2. 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Le caractère exceptionnel de l'entretien d'un majeur a été atténué respectivement relativisé à la suite de l'abaissement de l'âge de la majorité de 20 à 18 ans. 2.1.3. L'obligation d'entretien dépend de l'ensemble des circonstances et notamment des relations personnelles entre les parties (arrêt du Tribunal fédéral 5A_442/2016 du 7 février 2017 consid. 4.1). Si l'inexistence de celles-ci est attribuée au seul comportement du demandeur d'aliments, il est justifié de refuser toute contribution d'entretien. 2.1.4. L'obligation de subvenir à l'entretien de l'enfant qui n'a pas achevé sa formation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(ATF 111 II 410 consid. 2a; arrêt du Tribunal fédéral 5C.205/2004 du 8 novembre 2004, consid. 6.1, in : FamPra.ch. 2005 p. 414; MEIER/STETTLER, Droit de la filiation vol II, Effets de la filiation, 5ème éd., 2014, n. 1090). Si la demande n'est dirigée qu'à l'encontre de l'un des parents, il faut veiller à ce que les facultés du débiteur soient mises à contribution de façon équilibrée par rapport à celles de l'autre parent (ATF 107 II 406 consid. 2c; arrêt du Tribunal fédéral 5A_685/2008 du 18 décembre 2008, consid. 3.2; HEGNAUER, Commentaire bernois, 3ème éd., n. 108 ad art. 277 CC; HEGNAUER/MEIER, Droit suisse de filiation et de la famille,</w:t>
      </w:r>
    </w:p>
    <w:p>
      <w:r>
        <w:t>- 8/14 -</w:t>
      </w:r>
    </w:p>
    <w:p>
      <w:r>
        <w:t>C/23164/2017 4ème éd., n. 21.15, p. 139). Suivant les circonstances, il est possible d'exiger du parent gardien qu'il contribue à l'entretien de l'enfant, en sus des soins et de l'éducation, par des prestations en argent (ATF 120 II 285 consid. 3a/cc). 2.1.5. L'enfant majeur n'a plus besoin d'entretien en nature et le devoir de subvenir à ses besoins se concentre sur une contribution financière à sa subsistance à la charge de ses deux parents selon leur capacité économique. Il n'y a pas de responsabilité solidaire des parents (arrêt du Tribunal fédéral 5A_179/2015 du 29 mai 2015 consid. 6.1). Le soutien financier des père et mère ne peut se justifier que dans le cas où l'enfant ne dispose pas lui-même des ressources nécessaires pour assumer ses besoins courants et les frais engendrés par sa formation (MEIER/STETTLER, Droit de la filiation, 2014, n° 1210, p. 794). Dans la mesure du raisonnable, c'est-à-dire qui soit compatible avec sa formation, l'enfant majeur doit épuiser toutes les possibilités pour assumer son propre entretien et un revenu hypothétique peut lui être imputé (arrêts du Tribunal fédéral 5A_129/2019 du 10 mai 2019 consid. 9.3 et 5C.150/2005 du 11 octobre 2005 consid. 4.4). Ces deux jurisprudences ont été rendues dans le cadre d'enfants majeurs ayant agi contre l'un de leurs parents en paiement de contributions d'entretien après leur majorité, parce que celles-ci avaient pris fin à l'avènement de leur majorité.</w:t>
      </w:r>
    </w:p>
    <w:p>
      <w:r>
        <w:t>Selon MEIER/STETTLER, s'il est certainement salutaire pour l'enfant d'être déjà intégré au monde du travail pendant sa formation, l'autonomie financière exigible de l'enfant majeur trouve sa limite dans le temps qu'il doit consacrer en priorité à sa formation, soit dans la mesure du conciliable avec les études entreprises (op. cit., no 1606, p. 1046). Il appartient au débirentier de préciser dans quel domaine précis l'enfant majeur pourrait travailler et quelles seraient les qualifications professionnelles nécessaires que celui-ci disposerait à cet effet (ACJC/1329/2016 du 7 octobre 2016 consid. 2.5). 2.1.6.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Pour apprécier la capacité contributive des parents et les besoins concrets de l'enfant, la jurisprudence admet, comme l'une des méthodes possibles, celle dite du minimum vital. Les besoins de l'enfant et la capacité contributive du débirentier sont déterminés en ajoutant à leurs montants de base admis par le droit</w:t>
      </w:r>
    </w:p>
    <w:p>
      <w:r>
        <w:t>- 9/14 -</w:t>
      </w:r>
    </w:p>
    <w:p>
      <w:r>
        <w:t>C/23164/2017 des poursuites leurs charges incompressibles respectives (loyer, assurance maladie, frais de transport) (ATF 137 III 59 consid. 4.2.2, in SJ 2011 I 221; arrêt du Tribunal fédéral 5A_533/2010 du 24 novembre 2010 consid. 2.1; BASTONS BULLETTI, L'entretien après le divorce : Méthodes de calcul, montant, durée et 0limites, in SJ 2007 II 77, p. 86 et 102). Seules les charges effectives, dont le débirentier ou le crédirentier s'acquitte réellement doivent être prises en compte (ATF 140 III 337 consid. 4.2.3, arrêt du Tribunal fédéral 5A_65/2013 du</w:t>
      </w:r>
    </w:p>
    <w:p>
      <w:r>
        <w:rPr>
          <w:b/>
        </w:rPr>
        <w:t>E. 2.2</w:t>
      </w:r>
    </w:p>
    <w:p>
      <w:r>
        <w:t>En l'espèce, avec le premier juge, il convient de constater que la rupture des relations personnelles entre l'appelant et son père n'est pas imputable au seul comportement du premier. Ce point n'est d'ailleurs plus litigieux en appel. Il n'est pas non plus contesté que l'appelant poursuit des études sérieuses et régulières et qu'il achèvera, à teneur du dossier, sa formation dans des délais normaux.</w:t>
      </w:r>
    </w:p>
    <w:p>
      <w:r>
        <w:t>- 10/14 -</w:t>
      </w:r>
    </w:p>
    <w:p>
      <w:r>
        <w:t>C/23164/2017 Quand bien même il est retraité, l'intimé, de par sa fortune, dispose largement des moyens de contribuer à l'entretien de son fils, ainsi que l'avait constaté le Tribunal de première instance dans son jugement du 16 août 2016. L'intimé a du reste admis, à l'audience du 30 janvier 2019, que sa situation financière n'avait pas changé depuis 2016. Du reste, bien qu'invité à fournir toute pièce utile à cet égard l'intéressé n'a fourni aucun renseignement sur l'ampleur de son patrimoine, le résumé de sa taxation 2016-2017 n'étant pas pertinent dès lors qu'il n'est pas imposé sur sa fortune en Angleterre, selon ses propres déclarations.</w:t>
      </w:r>
    </w:p>
    <w:p>
      <w:r>
        <w:rPr>
          <w:b/>
        </w:rPr>
        <w:t>E. 2.3</w:t>
      </w:r>
    </w:p>
    <w:p>
      <w:r>
        <w:t>Compte tenu des conclusions prises par les parties au sujet du montant de la contribution mensuelle d'entretien en cause, celle-ci se situe entre 350 fr. selon l'intimé, qui n'a pas contesté le jugement dont est appel, et 2'500 fr., selon l'appelant.</w:t>
      </w:r>
    </w:p>
    <w:p>
      <w:r>
        <w:rPr>
          <w:b/>
        </w:rPr>
        <w:t>E. 2.3.1</w:t>
      </w:r>
    </w:p>
    <w:p>
      <w:r>
        <w:t>L'appelant estime en premier lieu que sa participation au loyer de sa mère, en 2'112 fr., devrait se monter à 704 fr. par mois et non pas à 422 fr., comme retenu par le Tribunal. A cet égard, le calcul du premier juge, qui a pris en considération une participation du majeur au loyer de sa mère de 20%, ne prête pas le flanc à la critique et correspond à la pratique en la matière. Vu la situation financière confortable des parents, il se justifie d'inclure dans le minimum vital de l'appelant la prime de l'assurance-maladie complémentaire, de 69 fr. par mois, mais pas les frais de téléphone, déjà compris dans le minimum vital OP, ni les autres frais (habillements, loisirs, repas) pour lesquels l'appelant n'a fourni aucune pièce. Aussi, les charges admissibles de l'appelant se montent à 2'127 fr. 65 (2058 fr. 65 + 69 fr). Après déduction des allocations familiales (400 fr.) et de la rente de 2ème pilier, en 343 fr. 65, les besoins mensuels de l'intéressé s'élèvent à 1'384 fr. L'appelant conteste le raisonnement du premier juge selon lequel il pourrait réaliser un revenu hypothétique de 670 fr. par mois. Quand bien même le nombre hebdomadaire d'heures de cours universitaires suivis par l'appelant se situe entre 24 et 30, fait non contesté, c'est à raison que celui-ci relève qu'il doit consacrer un investissement en temps important pour préparer les cours, pour les réviser et pour se présenter aux examens. Il serait en effet illusoire de considérer que la formation universitaire se limite à la seule présence aux heures de cours. Or, en admettant que l'appelant doive consacrer entre 10 et 20 heures par semaine au travail personnel, il ne pourrait pas consacrer ce temps à l'exercice d'une activité lucrative.</w:t>
      </w:r>
    </w:p>
    <w:p>
      <w:r>
        <w:t>- 11/14 -</w:t>
      </w:r>
    </w:p>
    <w:p>
      <w:r>
        <w:t>C/23164/2017 L'intimé, qui s'est limité à affirmer que son fils pouvait réaliser un revenu correspondant à 20% de ses besoins, n'a apporté aucun élément concret concernant le temps à disposition de celui-ci pour travailler à côté des études. Il n'a pas non plus davantage précisé dans quel domaine l'appelant pourrait travailler, de sorte qu'il n'a pas démontré que son fils pourrait exercer une activité lucrative en parallèle de ses études. Le grief soulevé par l'appelant concernant l'imputation d'un revenu hypothétique sera ainsi admis, de sorte qu'il n'y a pas lieu d'examiner si c'est en violation de son droit d'être entendu que le premier juge a fait référence à la grille horaire de l'université de Genève publiée sur Internet. Compte tenu de la situation financière confortable de la mère, c'est à juste titre que le Tribunal a estimé que celle-ci pouvait également contribuer financièrement à l'entretien de son fils, quand bien même celui-ci loge chez elle. Eu égard à ce qui précède, les besoins personnels de l'appelant se montent à 1'384 fr. 65 par mois, dont la moitié est à la charge de l'intimé, soit un montant arrondi de 700 fr. Le chiffre 1 du dispositif du jugement entrepris sera dès lors modifié dans ce sens.</w:t>
      </w:r>
    </w:p>
    <w:p>
      <w:r>
        <w:rPr>
          <w:b/>
        </w:rPr>
        <w:t>E. 4</w:t>
      </w:r>
    </w:p>
    <w:p>
      <w:r>
        <w:t>septembre 2013 consid. 3.2.1). Le minimum vital du débirentier doit en principe être préservé (ATF 137 III 59 consid. 4.2). Le montant de base correspond aux dépenses indispensables pour l'alimentation, les vêtements et le linge y compris leur entretien, les soins corporels et de santé, l'entretien du logement, les assurances privées, les frais culturels, ainsi que les dépenses pour l'éclairage, le courant électrique ou le gaz pour cuisiner (art. I Normes d'insaisissabilité pour l'année 2019 - E 3 60.04 - NI-2019). Dans le cadre de la méthode du minimum vital, les charges d'un enfant, tout comme celles de ses parents, comprennent un montant de base selon les normes d'insaisissabilité, une participation aux frais du logement (la participation de l'enfant au loyer du parent gardien peut être fixée à 15% du loyer lorsqu'ils sont deux enfants), sa prime d'assurance-maladie de base et les frais de transports publics (arrêt du Tribunal fédéral 5A_533/2010 du 24 novembre 2010 consid. 2.1; BASTONS BULLETTI, op. cit., p. 102). Lorsque la situation financière des parties le permet, il est justifié d'ajouter au minimum vital du droit des poursuites certains suppléments, tels que les impôts et certaines primes d'assurances non obligatoires (RC privée, ménage, complémentaires d'assurance-maladie), pour autant que leur versement régulier soit établi par pièces et ne dépasse pas une mesure raisonnable eu égard aux revenus du débiteur (BASTONS BULLETTI, op. cit., p. 90, 91 et 102). 2.1.7. Dans la mesure où les prestations pour l'entretien de l'enfant intègrent une participation aux frais de logement, le coût de celui-ci doit être réparti entre le parent gardien et l'enfant, de sorte que le loyer imputé à l'époux attributaire doit être diminué dans cette mesure (arrêts du Tribunal fédéral 5A_464/2012 du 30 novembre 2012 consid. 4.6.3; 5P.370/2004 du 5 janvier 2005 consid. 4; 5C.277/2001 du 19 décembre 2002 consid. 3.2). Pour ce faire, il est possible de prendre en considération 20% du loyer raisonnable pour un enfant et 30% pour deux enfants (BASTONS BULLETTI, op. cit., p. 85 et 102 n. 140).</w:t>
      </w:r>
    </w:p>
    <w:p>
      <w:r>
        <w:rPr>
          <w:b/>
        </w:rPr>
        <w:t>E. 4.1</w:t>
      </w:r>
    </w:p>
    <w:p>
      <w:r>
        <w:t>Lorsque la Cour de céans statue à nouveau, elle se prononce sur les frais fixés par l'autorité inférieure (art. 318 al. 3 CPC). En l'espèce, le montant des frais judiciaires de première instance fixé à 1'000 fr., ainsi que leur répartition par moitié entre les parties, de même que le refus d'octroyer des dépens, n'ont pas été critiqués par les parties. Ils seront donc confirmés.</w:t>
      </w:r>
    </w:p>
    <w:p>
      <w:r>
        <w:rPr>
          <w:b/>
        </w:rPr>
        <w:t>E. 4.2</w:t>
      </w:r>
    </w:p>
    <w:p>
      <w:r>
        <w:t>Les frais judiciaires de l'appel seront arrêtés à 1'250 fr. (art. 95 al. 2 et 105 al. 1 CPC; art. 32 et 35 RTFMC). Vu la nature familiale et l'issue du litige, ces frais seront mis à charge de chacune des parties, à parts égales (art. 106 al. 2 et 107 al. 1 let. c CPC), et seront compensés avec l'avance de frais de même montant fournie par l'appelant, qui reste acquise à l'Etat (art. 111 al. 1 CPC).</w:t>
      </w:r>
    </w:p>
    <w:p>
      <w:r>
        <w:t>- 12/14 -</w:t>
      </w:r>
    </w:p>
    <w:p>
      <w:r>
        <w:t>C/23164/2017 L'intimé sera condamné à payer 625 fr. à l'Etat de Genève et la somme de 625 fr. sera restituée à l'appelant. Compte tenu de l'issue de la procédure et de la nature familiale du litige, chaque partie conservera à sa charge ses propres dépens d'appel (art. 95 al. 1 let. b et al. 3, 104 al. 1, 105 al. 2 et 107 al. 1 let. c CPC). * * * * *</w:t>
      </w:r>
    </w:p>
    <w:p>
      <w:r>
        <w:t>- 13/14 -</w:t>
      </w:r>
    </w:p>
    <w:p>
      <w:r>
        <w:t>C/23164/2017 PAR CES MOTIFS, La Chambre civile : A la forme : Déclare recevable l'appel interjeté par A______ contre le chiffre 1 du dispositif du jugement JTPI/7224/2019 rendu le 16 mai 2019 par le Tribunal de première instance dans la cause C/23164/2017. Au fond : Annule le chiffre 1 du dispositif de ce jugement et, cela fait, statuant à nouveau : Condamne B______ à payer à A______ la somme de 700 fr. à titre de contribution à son entretien, par mois et d'avance, allocations familiales ou d'études non comprises, dès le 1er octobre 2016 et jusqu'à la fin de ses études sérieuses et régulières. Confirme le jugement entrepris pour le surplus. Déboute les parties de toutes autres conclusions. Sur les frais : Arrête les frais judiciaires d'appel à 1'250 fr., les met à la charge de A______ et de B______ à raison de la moitié chacun. Compense la part de A______ de 625 fr. avec l'avance fournie, qui demeure acquise à l'Etat de Genève. Condamne B______ à payer 625 fr. à l'Etat de Genève. Invite les Services financiers du Pouvoir judiciaire à rembourser 625 fr. à A______. Dit que chaque partie supporte ses propres dépens d'appel. Siégeant : Madame Jocelyne DEVILLE-CHAVANNE, présidente; Madame Verena PEDRAZZINI RIZZI, Madame Nathalie LANDRY-BARTHE, juges; Madame Jessica ATHMOUNI, greffière. La présidente : Jocelyne DEVILLE-CHAVANNE</w:t>
      </w:r>
    </w:p>
    <w:p>
      <w:r>
        <w:t>La greffière : Jessica ATHMOUNI</w:t>
      </w:r>
    </w:p>
    <w:p>
      <w:r>
        <w:t>- 14/14 -</w:t>
      </w:r>
    </w:p>
    <w:p>
      <w:r>
        <w:t>C/23164/2017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