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ACJC/353/2020 vom 3. Dezember 2019</w:t>
      </w:r>
    </w:p>
    <w:p>
      <w:r>
        <w:t>GE Cour de justice, 2019-12-03, FR</w:t>
      </w:r>
    </w:p>
    <w:p>
      <w:r>
        <w:rPr>
          <w:b/>
        </w:rPr>
        <w:t xml:space="preserve">Quelle: </w:t>
      </w:r>
      <w:r>
        <w:t>https://mcp.opencaselaw.ch/entscheid/ge_gerichte_ACJC_353_2020</w:t>
      </w:r>
    </w:p>
    <w:p>
      <w:r>
        <w:t>FR: GE_GERICHTE ACJC/353/2020 du 3 décembre 2019</w:t>
      </w:r>
    </w:p>
    <w:p>
      <w:r>
        <w:t>IT: GE_GERICHTE ACJC/353/2020 del 3 dicembre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t>- 4/7 -</w:t>
      </w:r>
    </w:p>
    <w:p>
      <w:r>
        <w:t>C/18704/2019</w:t>
      </w:r>
    </w:p>
    <w:p>
      <w:r>
        <w:rPr>
          <w:b/>
        </w:rPr>
        <w:t>E. 2</w:t>
      </w:r>
    </w:p>
    <w:p>
      <w:r>
        <w:t>Les intimés ont produit une pièce nouvelle, à savoir l'extrait des poursuites de E______, administrateur de la recourante, au 19 décembre 2019. Dans la mesure où cette pièce n'est pas pertinente pour l'issue du litige, il n'est pas nécessaire de trancher la question de sa recevabilité.</w:t>
      </w:r>
    </w:p>
    <w:p>
      <w:r>
        <w:rPr>
          <w:b/>
        </w:rPr>
        <w:t>E. 3</w:t>
      </w:r>
    </w:p>
    <w:p>
      <w:r>
        <w:t>Le Tribunal a retenu qu'il n'était pas contesté que les intimés étaient créanciers de la recourante. La suspension des paiements était vraisemblable car la recourante faisait l'objet, au 30 septembre 2019, de 49 poursuites, pour plus de 230'000 fr. (dont 15 s'étaient soldées par la délivrance d'actes de défaut de biens au sens de l'art. 115 LP, 3 par la délivrance d'actes de défaut de biens au sens de l'art. 149 LP et 13 par des saisies ne couvrant pas la créance). Certaines poursuites concernaient des montants minimes (par exemple 50 fr., 53 fr. 85 ou 642 fr.) et de nombreuses créances de droit public (TVA, administration fiscale cantonale) et d'assurances sociales étaient concernées.</w:t>
      </w:r>
    </w:p>
    <w:p>
      <w:r>
        <w:t>La recourante fait valoir qu'elle subit une perte de chiffre d'affaires en raison du fait qu'elle ne peut plus louer des chambres aux touristes au motif qu'elles sont vétustes et que les intimés ne les ont pas rénovées. Ces chambres avaient été louées à des personnes au bénéfice de l'assistance publique et elle était créancière de l'Hospice général et de l'Etat de Genève à hauteur de 53'227 fr. à ce titre. Les poursuites à son encontre étaient pour l'essentiel payées ou contestées, de sorte qu'elle était solvable. C'était par conséquent à tort que le Tribunal avait retenu qu'elle avait vraisemblablement suspendu ses paiements.</w:t>
      </w:r>
    </w:p>
    <w:p>
      <w:r>
        <w:rPr>
          <w:b/>
        </w:rPr>
        <w:t>E. 3.1</w:t>
      </w:r>
    </w:p>
    <w:p>
      <w:r>
        <w:t>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Le motif de la faillite posé à l'art. 190 al. 1 ch. 2 LP est une notion juridique indéterminée qui accorde au juge un large pouvoir d'appréciation. La suspension de paiements a été préférée par le législateur à l'insolvabilité parce qu'elle est</w:t>
      </w:r>
    </w:p>
    <w:p>
      <w:r>
        <w:t>- 5/7 -</w:t>
      </w:r>
    </w:p>
    <w:p>
      <w:r>
        <w:t>C/18704/2019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5A_354/2016 du 22 novembre 2016 consid. 6.2.1; 5A_439/2010 du 11 novembre 2010 consid. 4). L'existence de comminations de faillite valables, c'est-à-dire non périmées, permet de conclure à la suspension des paiements (COMETTA, Commentaire romand LP, 2005, n. 10 ad art. 190 LP).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op. cit., n. 2 ad art. 190 LP).</w:t>
      </w:r>
    </w:p>
    <w:p>
      <w:r>
        <w:rPr>
          <w:b/>
        </w:rPr>
        <w:t>E. 3.2</w:t>
      </w:r>
    </w:p>
    <w:p>
      <w:r>
        <w:t>En l'espèce, la qualité de créanciers des intimés n'est pas contestée, de sorte que la seule question à examiner est celle de savoir si la recourante a vraisemblablement suspendu ses paiements. La recourante allègue, sans fournir aucune précision à cet égard, que les poursuites à son encontre sont pour l'essentiel payées ou contestées.</w:t>
      </w:r>
    </w:p>
    <w:p>
      <w:r>
        <w:t>Les pièces produites n'étayent cependant pas ses allégations. L'extrait des poursuites de la recourante au 3 décembre 2019 fait en particulier état de 18 poursuites en cours, pour un total de 73'930 fr. environ, engagées entre 2014 et 2019, dont trois comminations de faillites et de 17 actes de défaut de biens pour un total de 85'862 fr. environ. Sur ce point, la situation ne diffère pas fondamentalement de celle constatée par le Tribunal, dont les considérants ne sont pas critiqués de manière motivée devant la Cour par la recourante.</w:t>
      </w:r>
    </w:p>
    <w:p>
      <w:r>
        <w:t>- 6/7 -</w:t>
      </w:r>
    </w:p>
    <w:p>
      <w:r>
        <w:t>C/18704/2019 Comme le Tribunal l'a relevé à juste titre, de nombreuses poursuites à l'encontre de la recourante émanent de créanciers de droit public et plusieurs poursuites portent sur des montant minimes, éléments qui sont tous deux des indices de suspension des paiements. La réalité de la créance que la recourante allègue avoir contre l'Etat de Genève, en 53'227 fr. environ, n'est pas établie par les pièces produites. En tout état de cause, même à supposer que le montant précité soit versé à court terme, ce qui n'est pas rendu vraisemblable, il ne suffirait pas pour payer les dettes de la recourante, qui sont de 73'930 fr. au minimum, actes de défaut de biens non inclus. La cause de la cessation des paiements n'est quant à elle pas un élément pertinent dans le cadre d'une faillite sans poursuite préalable. Le fait que les difficultés financières de la recourante soient, comme elle l'allègue, imputable à ses parties adverses, n'est ainsi pas décisif. En tout état de cause, ses affirmations sur ce point ne sont pas rendues vraisemblables. Il résulte de ce qui précède que c'est à juste titre que le Tribunal a retenu que la recourante a suspendu ses paiements. Le jugement querellé doit par conséquent être confirmé.</w:t>
      </w:r>
    </w:p>
    <w:p>
      <w:r>
        <w:rPr>
          <w:b/>
        </w:rPr>
        <w:t>E. 4</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La faillite de la recourante sera dès lors confirmée, avec effet à la date du prononcé du présent arrêt.</w:t>
      </w:r>
    </w:p>
    <w:p>
      <w:r>
        <w:rPr>
          <w:b/>
        </w:rPr>
        <w:t>E. 5</w:t>
      </w:r>
    </w:p>
    <w:p>
      <w:r>
        <w:t>Les frais du recours seront mis à charge de la recourante qui succombe (art. 106 al. 1 CPC).</w:t>
      </w:r>
    </w:p>
    <w:p>
      <w:r>
        <w:t>Les frais judiciaires seront fixés à 750 fr. (art. 52 et 61 OELP) et compensés avec l'avance versée par la recourante, acquise à l'Etat de Genève (art. 111 al. 1 CPC).</w:t>
      </w:r>
    </w:p>
    <w:p>
      <w:r>
        <w:t>Il n'y a pas lieu d'allouer de dépens, les intimés plaidant en personne et n'ayant pas effectué de démarches justifiant l'allocation de dépens (art. 95 al. 3 let. c CPC). * * * * *</w:t>
      </w:r>
    </w:p>
    <w:p>
      <w:r>
        <w:t>- 7/7 -</w:t>
      </w:r>
    </w:p>
    <w:p>
      <w:r>
        <w:t>C/18704/2019 PAR CES MOTIFS, La Chambre civile : A la forme : Déclare recevable le recours interjeté par A______ SA contre le jugement JTPI/16471/2019 rendu le 21 novembre 2019 par le Tribunal de première instance dans la cause C/18704/2019-5 SFC. Au fond : Rejette ce recours. Confirme le jugement querellé, la faillite de A______ SA prenant effet le 26 février 2020 à 12h00. Sur les frais : Arrête les frais judiciaires à 750 fr., les met à charge de A______ SA et dit qu'ils sont compensés avec l'avance fournie, qui reste acquise à l'Etat de Genève. Dit qu'il n'est pas alloué de dépens. Siégeant : Monsieur Laurent RIEBEN, président; Madame Fabienne GEISINGER-MARIETHOZ et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