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ACJC/352/2023 vom 13. März 2023</w:t>
      </w:r>
    </w:p>
    <w:p>
      <w:r>
        <w:t>GE Cour de justice, 2023-03-13, FR</w:t>
      </w:r>
    </w:p>
    <w:p>
      <w:r>
        <w:rPr>
          <w:b/>
        </w:rPr>
        <w:t xml:space="preserve">Quelle: </w:t>
      </w:r>
      <w:r>
        <w:t>https://mcp.opencaselaw.ch/entscheid/ge_gerichte_ACJC_352_2023</w:t>
      </w:r>
    </w:p>
    <w:p>
      <w:r>
        <w:t>FR: GE_GERICHTE ACJC/352/2023 du 13 mars 2023</w:t>
      </w:r>
    </w:p>
    <w:p>
      <w:r>
        <w:t>IT: GE_GERICHTE ACJC/352/2023 del 13 marzo 2023</w:t>
      </w:r>
    </w:p>
    <w:p>
      <w:pPr>
        <w:pStyle w:val="Heading2"/>
      </w:pPr>
      <w:r>
        <w:t>Erwägungen</w:t>
      </w:r>
    </w:p>
    <w:p>
      <w:r>
        <w:rPr>
          <w:b/>
        </w:rPr>
        <w:t>E. 16</w:t>
      </w:r>
    </w:p>
    <w:p>
      <w:r>
        <w:t>septembre 2014 consid. 2.1). La situation juridique est claire lorsque l'application de la norme au cas concret s'impose de façon évidente au regard du texte légal ou sur la base d'une doctrine et d'une jurisprudence éprouvées (ATF 144 III 462 consid. 3.1 et les arrêts cités).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2.1.2 Une requête en expulsion d'un locataire selon la procédure sommaire pour les cas clairs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 2.1.3 Selon l'art. 266h CO, en cas de faillite du locataire après la délivrance de la chose, le bailleur peut exiger que des sûretés lui soient fournies pour les loyers à échoir; à cet effet, il s’adresse par écrit au locataire et à l’administration de la faillite en leur fixant un délai convenable (al. 1); si ces sûretés ne lui sont pas fournies dans ce délai, le bailleur peut résilier le contrat avec effet immédiat (al. 2). 2.2 En l'espèce, il apparaît que deux contrats de bail ont vraisemblablement été signés par les intimés et le locataire, lesquels prévoient des clauses différentes. Comme le Tribunal le relève, il en résulte que le montant des sûretés réclamées n'est pas le même selon que l'un ou l'autre des contrats est applicable. Le locataire n'a certes rien versé, de sorte que le fait que ledit montant s'élève soit à 88'000 fr. soit à 106'000 fr. selon le contrat considéré n'est a priori pas déterminant; il n'en demeure pas moins que, comme le relève le Tribunal, se pose la question de</w:t>
      </w:r>
    </w:p>
    <w:p>
      <w:r>
        <w:t>- 7/9 -</w:t>
      </w:r>
    </w:p>
    <w:p>
      <w:r>
        <w:t>C/11349/2022 l'impact sur la validité du congé, de l'absence de versement de sûretés, arrêtés par hypothèse à un montant trop élevé. Les appelants fondent en outre leur requête sur la résiliation du bail pour défaut de versement des sûretés réclamées sur la base de l'art. 266h CO. De telles sûretés peuvent cependant être réclamées si le locataire tombe en faillite en cours de bail. Or, en l'espèce, le bail avait déjà été résilié à la date de la faillite du locataire. Déterminer si des sûretés pouvaient en l'occurrence être exigées n'est pas d'emblée évident, pas plus que déterminer si, par conséquent, le bail pouvait être résilié pour défaut de versements desdites sûretés et l'évacuation requise pour ce motif. Enfin, le titre auquel les autres parties à la procédure que le locataire occupent les locaux loués, en particulier D______ et F______ Sàrl, n'est pas clair non plus, étant relevé que selon la requête en évacuation, seule la sous-location à E______ a été autorisée par les appelants. Au vu de ce qui précède la situation tant de fait que de droit ne peut être qualifiée de prouvée ou non litigieuse respectivement claire. C'est dès lors à bon droit que le Tribunal a déclaré irrecevable la requête en évacuation déposée par les appelants. Le jugement attaqué sera confirmé. 3. A teneur de l'art. 22 al. 1 LaCC, il n'est pas prélevé de frais dans les causes soumises à la juridiction des baux et loyers (ATF 139 III 182 consid. 2.6). * * * * *</w:t>
      </w:r>
    </w:p>
    <w:p>
      <w:r>
        <w:t>- 8/9 -</w:t>
      </w:r>
    </w:p>
    <w:p>
      <w:r>
        <w:t>C/11349/2022</w:t>
      </w:r>
    </w:p>
    <w:p>
      <w:r>
        <w:t>PAR CES MOTIFS, La Chambre des baux et loyers : A la forme : Déclare recevable l'appel interjeté le 2 décembre 2022 par B______ et A______ contre le jugement JTBL/842/2022 rendu le 3 novembre 2022 par le Tribunal des baux et loyers dans la cause C/11349/2022.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C/11349/2022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