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ACJC/350/2023 vom 25. April 2022</w:t>
      </w:r>
    </w:p>
    <w:p>
      <w:r>
        <w:t>GE Cour de justice, 2022-04-25, FR</w:t>
      </w:r>
    </w:p>
    <w:p>
      <w:r>
        <w:rPr>
          <w:b/>
        </w:rPr>
        <w:t xml:space="preserve">Quelle: </w:t>
      </w:r>
      <w:r>
        <w:t>https://mcp.opencaselaw.ch/entscheid/ge_gerichte_ACJC_350_2023</w:t>
      </w:r>
    </w:p>
    <w:p>
      <w:r>
        <w:t>FR: GE_GERICHTE ACJC/350/2023 du 25 avril 2022</w:t>
      </w:r>
    </w:p>
    <w:p>
      <w:r>
        <w:t>IT: GE_GERICHTE ACJC/350/2023 del 25 aprile 2022</w:t>
      </w:r>
    </w:p>
    <w:p>
      <w:pPr>
        <w:pStyle w:val="Heading2"/>
      </w:pPr>
      <w:r>
        <w:t>Erwägungen</w:t>
      </w:r>
    </w:p>
    <w:p>
      <w:r>
        <w:rPr>
          <w:b/>
        </w:rPr>
        <w:t>E. 1.1</w:t>
      </w:r>
    </w:p>
    <w:p>
      <w:r>
        <w:t>Interjeté dans le délai utile de trente jours (art. 142 al. 3, 143 al. 1 et 311 al. 1 CPC), selon la forme prescrite par la loi (art. 130, 131 et 311 CPC), dans une cause dont la valeur litigieuse est supérieure à 10'000 fr. (art. 308 al. 1 let. a et al.</w:t>
      </w:r>
    </w:p>
    <w:p>
      <w:r>
        <w:rPr>
          <w:b/>
        </w:rPr>
        <w:t>E. 1.2</w:t>
      </w:r>
    </w:p>
    <w:p>
      <w:r>
        <w:t>Le mémoire de réponse et les écritures subséquentes sont également recevables pour avoir été déposées dans les délais et les formes prescrits par la loi, respectivement impartis à cet effet (art. 145 al. 1 let. b, art. 312, et. 316 al. 2 CPC).</w:t>
      </w:r>
    </w:p>
    <w:p>
      <w:r>
        <w:rPr>
          <w:b/>
        </w:rPr>
        <w:t>E. 1.3</w:t>
      </w:r>
    </w:p>
    <w:p>
      <w:r>
        <w:t>Pour des motifs de clarté, A______ sera ci-après désignée "l'appelante" et B______ SA "la société appelante". Ensemble, elles seront également désignées "les appelantes". C______ sera quant à elle désignée ci-après "l'intimée".</w:t>
      </w:r>
    </w:p>
    <w:p>
      <w:r>
        <w:rPr>
          <w:b/>
        </w:rPr>
        <w:t>E. 2</w:t>
      </w:r>
    </w:p>
    <w:p>
      <w:r>
        <w:t>La Cour revoit la cause avec un plein pouvoir d'examen (art. 310 CPC), dans les limites posées par les maximes des débats et de disposition applicables au présent litige (art. 55 al. 1, 58 al. 1 CPC).</w:t>
      </w:r>
    </w:p>
    <w:p>
      <w:r>
        <w:rPr>
          <w:b/>
        </w:rPr>
        <w:t>E. 3</w:t>
      </w:r>
    </w:p>
    <w:p>
      <w:r>
        <w:t>Les appelantes se plaignent d'une violation de la maxime de disposition (art. 58 al. 1 CPC) et reprochent au Tribunal d'avoir modifié l'objet du litige et outrepassé ses compétence en procédant à une interprétation du contrat alors même que les parties s'accordaient, selon elles, sur l'absence d'engagement solidaire des appelantes envers l'intimée.</w:t>
      </w:r>
    </w:p>
    <w:p>
      <w:r>
        <w:t>- 7/13 -</w:t>
      </w:r>
    </w:p>
    <w:p>
      <w:r>
        <w:t>C/9481/2020 3.1.1 Aux termes de l'art. 58 al. 1 CPC, le Tribunal ne peut accorder à une partie ni plus ni autre chose que ce qui est demandé, ni moins que ce qui est reconnu par la partie adverse. Le principe de disposition veut que les parties soient libres de déterminer ce qu'elles vont réclamer en justice; à titre de conséquence, le Tribunal ne peut aller au-delà des conclusions des parties (ne ultra petita). Il ne peut donc allouer davantage que demandé ni moins que ce que la partie adverse a reconnu devoir (arrêt du Tribunal fédéral 4A_397/2016 du 30 novembre 2016, consid. 2.1). 3.1.2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w:t>
      </w:r>
    </w:p>
    <w:p>
      <w:r>
        <w:rPr>
          <w:b/>
        </w:rPr>
        <w:t>E. 3.2</w:t>
      </w:r>
    </w:p>
    <w:p>
      <w:r>
        <w:t>En l'espèce, le premier juge a alloué à l'intimée ni plus, ni moins, ni autre chose que les montants auxquels elle a conclu en dernier lieu, de sorte qu'il n'a pas statué ultra petita. Peu importe au demeurant que, pour statuer dans le cadre des conclusions prises par l'intimée, le Tribunal ait pu s'écarter de la motivation présentée par les parties, le premier juge n'étant pas lié par les motifs invoqués. Dans ces circonstances, le grief des appelantes n'est pas fondé.</w:t>
      </w:r>
    </w:p>
    <w:p>
      <w:r>
        <w:rPr>
          <w:b/>
        </w:rPr>
        <w:t>E. 4</w:t>
      </w:r>
    </w:p>
    <w:p>
      <w:r>
        <w:t>Les appelantes reprochent au Tribunal d'avoir procédé à tort à une interprétation de la "reconnaissance de dettes" des parties, alors même que l'interprétation des termes et de la portée de la reconnaissance de dette n'était selon elles plus litigieuse, consécutivement aux déterminations de l'intimée, les parties s'étant accordées sur l'absence d'engagement solidaire. 4.1.1 Les parties allèguent les faits sur lesquels elles fondent leurs prétentions et produisent les preuves qui s'y rapportent (art. 55 al. 1 CPC). Lorsque la maxime des débats s'applique, le Tribunal est lié par les faits allégués. Ces derniers, ainsi que les conclusions déterminent l'objet du litige et fixent le cadre du procès. Les faits allégués qui ne sont pas contestés sont censés être admis et ne doivent pas être prouvés. Ce principe ressort de l'art. 150 al. 1 CPC et découle du principe de disposition (art. 58 al. 1 CPC). Les parties peuvent admettre certains faits et lier ainsi le tribunal (principe de la "vérité formelle") (CHABLOZ, Petit commentaire du Code de procédure civile, 2020, n°22 et 24 ad art. 55 al. 1 CPC; ACJC/1172/2011 du 23 septembre 2011, consid. 2.1).</w:t>
      </w:r>
    </w:p>
    <w:p>
      <w:r>
        <w:t>- 8/13 -</w:t>
      </w:r>
    </w:p>
    <w:p>
      <w:r>
        <w:t>C/9481/2020 4.1.2 Le Tribunal applique le droit d'office (art. 57 CPC). Ce principe impose aux tribunaux cantonaux d'examiner d'office le bien-fondé des conclusions sous tous les aspects juridiques possibles, sans être lié par les arguments de droit des parties, ni par la motivation retenue par l'instance précédente. Par conséquent, les parties doivent alléguer les faits, y compris les exceptions, mais non le droit. Les tribunaux, quant à eux, ne sont pas liés par l'argumentation juridique des parties, même si celle-ci n'est pas contestée. En première instance, les tribunaux doivent donc se pencher d'office sur tous les arguments juridiques, même ceux qui n'ont pas été soulevés par les parties. (CHABLOZ, op. cit., n°1 ad art. 57 CPC et les références citées). Dans le cadre des conclusions prises par les parties (art. 58 CPC), le juge est libre d'appliquer le droit, en s'écartant de l'analyse juridique et des arguments des parties. Il n'est pas lié par les causes juridiques invoquées à l'appui des conclusions (Arrêt du Tribunal fédéral 4A_559/2019 du 12 mai 2020 consid. 1.3.1 et 1.3.2; ATF 120 II 172 consid. 3a et références citées; HALDY, Code de procédure civile commenté, Bâle 2011, n. 3 ad art. 57 CPC). La qualification juridique d'un contrat est une question de droit (ATF 131 III 217 consid. 3). Le juge détermine librement la nature de la convention d'après l'aménagement objectif de la relation contractuelle, sans être lié par la qualification même concordante donnée par les parties. La dénomination d'un contrat n'est pas déterminante pour évaluer sa nature juridique (art. 18 al. 1 CO; ATF 129 III 664 consid. 3.1; arrêts du Tribunal fédéral 4A_500/2018 du 11 avril 2019 consid. 4.1; 4A_592/2016 du 16 mars 2017 consid. 2.1).</w:t>
      </w:r>
    </w:p>
    <w:p>
      <w:r>
        <w:rPr>
          <w:b/>
        </w:rPr>
        <w:t>E. 4.2</w:t>
      </w:r>
    </w:p>
    <w:p>
      <w:r>
        <w:t>En l'espèce, si le contenu du contrat – soit la teneur des déclarations de volonté des parties ainsi que le contexte général – relève des faits, sa qualification relève du droit, lequel est établi d'office par le juge, qui n'est lié ni par l'analyse juridique ni par les arguments des parties. Dès lors, quand bien même les parties auraient été d'accord sur la qualification juridique de l'engagement pris par les appelantes envers l'intimée, celle-ci ne liait pas pour autant le Tribunal, lequel, dans le cadre du principe de l'application du droit d'office, était fondé à procéder à une interprétation de la reconnaissance de dette aux fins de rechercher la réelle et commune intention des parties et de pouvoir statuer sur leurs conclusions. Partant, c'est à raison que le Tribunal a procédé à une interprétation de l'ensemble des documents produits par les parties aux fins de déterminer leur réelle et commune intention. Les griefs des appelantes à cet égard seront ainsi écartés.</w:t>
      </w:r>
    </w:p>
    <w:p>
      <w:r>
        <w:rPr>
          <w:b/>
        </w:rPr>
        <w:t>E. 5</w:t>
      </w:r>
    </w:p>
    <w:p>
      <w:r>
        <w:t>Les appelantes reprochent encore au Tribunal d'avoir procédé à une interprétation erronée du contrat en retenant à tort l'existence d'une solidarité entre les parties, fondée sur l'art. 143 CO. 5.1.1 Pour apprécier la forme et les clauses d'un contrat, il y a lieu de rechercher la réelle et commune intention des parties, sans s'arrêter aux expressions ou</w:t>
      </w:r>
    </w:p>
    <w:p>
      <w:r>
        <w:t>- 9/13 -</w:t>
      </w:r>
    </w:p>
    <w:p>
      <w:r>
        <w:t>C/9481/2020 dénominations inexactes dont elles ont pu se servir, soit par erreur, soit pour déguiser la nature véritable de la convention (art. 18 al. 1 CO). Le débiteur ne peut opposer l'exception de simulation au tiers qui est devenu créancier sur la foi d'une reconnaissance écrite de la dette (art. 18 al. 2 CO).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cit.). 5.1.2 La solidarité existe entre plusieurs débiteurs lorsqu'ils déclarent s'obliger de manière qu'à l'égard du créancier chacun d'eux soit tenu pour le tout (art. 143 al.1 CO). Cette disposition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(ROMY, in Commentaire Romand, Code des obligations I, 2012, n°1 ad art. 143 CO). Cette solidarité a pour but de renforcer la position du créancier en lui offrant plusieurs débiteurs et donc plusieurs garanties patrimoniales pour une même dette et en lui permettant de se désintéresser de la manière la plus complète possible (ROMY, op. cit. n°2 ad art. 143 CO). La solidarité conventionnelle suppose que les codébiteurs solidaires adressent au créancier une déclaration dans ce sens. Un tel engagement ne sera toutefois retenu qu'en présence d'un comportement univoque, qui ne suscite raisonnablement aucun doute, tel qu'il résulte des circonstances ou du contexte du contrat interprété</w:t>
      </w:r>
    </w:p>
    <w:p>
      <w:r>
        <w:t>- 10/13 -</w:t>
      </w:r>
    </w:p>
    <w:p>
      <w:r>
        <w:t>C/9481/2020 conformément au principe de la confiance (ROMY, op. cit., n. 6-7 ad art 143 CO; ATF 116 II 707 consid. 3). Le fardeau de la preuve d'un engagement solidaire incombe au créancier (ROMY, op. cit., n. 5 ad art. 143 CO). 5.1.3 A teneur de l'art. 144 al. 1 et 2 CO, le créancier peut, à son choix, exiger de tous les débiteurs solidaires ou de l'un d'eux l'exécution intégrale ou partielle de l'obligation et les débiteurs demeurent tous obligés jusqu'à l'extinction totale de la dette; en outre, seul le paiement d'un débiteur solidaire dont le paiement ou la compensation éteint la dette en totalité ou en partie libère les autres jusqu'à concurrence de la portion éteinte (art. 147 al. 1 CO). 5.2.1 En l'espèce, comme l'a justement retenu le Tribunal, le texte de la reconnaissance de dette est parfaitement limpide, l'intention les deux appelantes de s'engager envers l'intimée, solidairement entre elles, pour un montant total de 131'800 fr., soit pour un montant correspondant à l'addition des deux dettes initialement contractées par elles individuellement, pour des montants de 61'800 fr. et 70'000 fr., étant clairement manifestée. Cela est corroboré par le plan de remboursement adopté par les parties – lequel forme un tout avec la reconnaissance de dette et le contrat de cession des actions – qui considère et traite la dette de 131'800 fr. comme une seule et unique dette, faisant abstraction des dettes initiales, et ne procède à aucune distinction entre les deux appelantes s'agissant des modalités de remboursement convenues, étant encore précisé que sont désignées en qualité de débitrice, "A______ et/ou B______ SA", sans autre précision, de sorte que l'on en retient la volonté des parties que l'intimée dispose de deux débitrices pouvant être recherchées ensemble ou séparément, pour l'ensemble de la dette. Comme encore relevé à raison par le premier juge, la reconnaissance de dette n'a de sens que parce qu'elle vient dire autre chose que ce qui figurait déjà dans les documents des parties relatifs aux dettes contractées individuellement par les appelantes. Au contraire de ce que plaident les appelantes, rien ne permet de douter de la volonté réelle et commune de l'ensemble des parties, au moment de la signature de cette reconnaissance de dette, de conclure un engagement solidaire des appelantes envers l'intimée. C'est en particulier en vain que les appelantes tentent de soutenir l'existence d'une contradiction dans les termes de la reconnaissance de dette en prétendant que le terme "conjointement" signifierait que "les débiteurs ne sont responsables que de leur part respectivement de leur dette". Peu importe au demeurant que les parties aient ultérieurement plaidé l'absence de solidarité car telle était bien la volonté des parties lors de la signature de la reconnaissance de dette.</w:t>
      </w:r>
    </w:p>
    <w:p>
      <w:r>
        <w:t>- 11/13 -</w:t>
      </w:r>
    </w:p>
    <w:p>
      <w:r>
        <w:t>C/9481/2020 Dans la mesure où la volonté réelle et commune des parties au moment de la conclusion de la reconnaissance de dette ne fait aucun doute, nul n'est besoin de procéder à une interprétation objective du contrat selon le principe de la confiance, de sorte qu'il ne sera pas revenu sur l'analyse juridique conduite par les appelantes à ce propos. En particulier, dans la mesure où l'existence d'un engagement solidaire entre les parties est avérée, il n'est pas pertinent d'examiner les dispositions légales et la jurisprudence relatives aux engagements accessoires. Ainsi, c'est à raison que le Tribunal a considéré que les appelantes avaient contracté, solidairement entre elles, une dette de 131'800 fr. envers l'intimée. Au vu de l'engagement solidaire des appelantes pour le tout, chaque paiement effectué a profité de la même manière à chacune des dettes, et non seulement au pro rata des dettes initiales. Indépendamment de savoir laquelle des deux appelantes s'en est acquitté, ce qui n'est pas pertinent, et quand bien même une seule d'entre elle aurait effectué l'ensemble des paiements, chaque paiement a en effet diminué d'autant la dette totale de 131'800 fr. Les montants réclamés par l'intimée n'ont pas été contestés en tant que tels par les appelantes. L'exigibilité de ces montants ne souffre quant à elle aucune critique, le plan de remboursement prévoyant clairement et distinctement la date à laquelle chaque tranche de paiement devait être acquittée, soit notamment au 31 décembre 2017, 31 décembre 2018 et 31 décembre 2019. Les critiques formulées par les appelantes quant à l'exigibilité des créances requises ne sont dès lors pas pertinentes, l'existence d'une solidarité entre elles étant établie. Dans la mesure où l'intimée était fondée à réclamer l'intégralité des montants dus, soit un montant total de 30'000 fr., aux appelantes ensemble ou à l'une d'entre elle uniquement, elle était également libre de limiter ses conclusions en ne recherchant que l'une des appelantes pour une partie ou le tout, ou encore en les recherchant simultanément, chacune pour une partie du montant total dû, sans avoir à justifier les montants pour lesquelles chacune des appelantes est recherchée, cette prérogative résultant directement de la solidarité existant entre les appelantes. En modifiant ses conclusions initiales en cours de procédure comme elle l'a fait, l'intimée a toutefois partiellement renoncé à la liberté octroyée par la solidarité existant entre les appelantes et déterminé des montants précis pour lesquels elle entendait rechercher chacune des appelantes séparément. C'est ainsi à raison que le Tribunal a constaté qu'en vertu de la solidarité existant entre les appelantes, celles-ci auraient chacune pu être recherchées pour la somme totale de 30'000 fr. encore due mais que, au vu des conclusions prises en cours de procédure par l'intimée, le Tribunal ne pouvait condamner les appelantes solidairement et conjointement, sauf à statuer ultra petita, de sorte qu'il a</w:t>
      </w:r>
    </w:p>
    <w:p>
      <w:r>
        <w:t>- 12/13 -</w:t>
      </w:r>
    </w:p>
    <w:p>
      <w:r>
        <w:t>C/9481/2020 condamné l'appelante à verser 15'933 fr. à l'intimée et la société appelante à lui verser 14'067 fr.</w:t>
      </w:r>
    </w:p>
    <w:p>
      <w:r>
        <w:rPr>
          <w:b/>
        </w:rPr>
        <w:t>E. 6</w:t>
      </w:r>
    </w:p>
    <w:p>
      <w:r>
        <w:t>Les appelantes ont encore plaidé l'exception de prescription de l'art. 128 ch. 1 CO en lien avec leur raisonnement consistant à soutenir une absence de solidarité entre elles, s'agissant des montants dus à l'intimée. Dans la mesure où l'existence d'un engagement solidaire entre les appelantes a été dûment établie et compte tenu du fait que les prétentions de l'intimée ne portent que sur les prestations dues au 31 décembre 2017, 2018 et 2019, il n'est pas nécessaire de déterminer si les prestations des débitrices sont soumises à la prescription ordinaire de l'art. 127 CO ou bien à la prescription quinquennale de l'art. 128 ch. 1 CO, la créance de l'intimée n'étant en tout état pas prescrite car datant de moins de cinq ans avant l'ouverture de l'action en mai 2022. Le jugement sera par conséquent confirmé.</w:t>
      </w:r>
    </w:p>
    <w:p>
      <w:r>
        <w:rPr>
          <w:b/>
        </w:rPr>
        <w:t>E. 7</w:t>
      </w:r>
    </w:p>
    <w:p>
      <w:r>
        <w:t>Les frais judiciaires d'appel seront arrêtés à 2'200 fr. (art. 19 al. 3 let. d LaCC; 95 et 96 CPC; 17 et 35 RTFMC) et mis à la charge des appelantes qui succombent, solidairement entre elles (art. 104 al. 1, 105 et 106 al. 1 CPC). Ils seront compensés avec l'avance de frais de même montant fournie par les appelantes, laquelle demeure acquise à l'Etat (art. 98 et 111 al. 1 CPC). Les appelantes seront, en outre, condamnées, solidairement entre elles, aux dépens d'appel de leur partie adverse, arrêtés à 2'000 fr., TVA et débours compris, au regard notamment de la valeur litigieuse et de l'activité déployée par le conseil de l'intimée (art. 85 et 90 RTFMC; art. 25 et 26 LaCC). * * * * *</w:t>
      </w:r>
    </w:p>
    <w:p>
      <w:r>
        <w:t>- 13/13 -</w:t>
      </w:r>
    </w:p>
    <w:p>
      <w:r>
        <w:t>C/9481/2020 PAR CES MOTIFS, La Chambre civile :</w:t>
      </w:r>
    </w:p>
    <w:p>
      <w:r>
        <w:t>A la forme : Déclare recevable l'appel interjeté le 27 mai 2022 par A______ et B______ SA contre le jugement JTPI/4799/2022 rendu le 25 avril 2022 par le Tribunal de première instance dans la cause C/9481/2020. Au fond : Confirme le jugement entrepris. Déboute les parties de toutes autres conclusions. Sur les frais : Arrête les frais judiciaires d'appel à 2'200 fr., les mets à la charge de A______ et de B______ SA, solidairement entre elles, et les compense avec l'avance de frais de même montant versée et qui reste acquise à l'Etat de Genève. Condamne A______ et B______ SA, solidairement entre elles, à verser à C______ 2'000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