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ACJC/350/2016 vom 11. März 2016</w:t>
      </w:r>
    </w:p>
    <w:p>
      <w:r>
        <w:t>GE Cour de justice, 2016-03-11, FR</w:t>
      </w:r>
    </w:p>
    <w:p>
      <w:r>
        <w:rPr>
          <w:b/>
        </w:rPr>
        <w:t xml:space="preserve">Quelle: </w:t>
      </w:r>
      <w:r>
        <w:t>https://mcp.opencaselaw.ch/entscheid/ge_gerichte_ACJC_350_2016</w:t>
      </w:r>
    </w:p>
    <w:p>
      <w:r>
        <w:t>FR: GE_GERICHTE ACJC/350/2016 du 11 mars 2016</w:t>
      </w:r>
    </w:p>
    <w:p>
      <w:r>
        <w:t>IT: GE_GERICHTE ACJC/350/2016 del 11 marzo 2016</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qui statue sur des conclusions pécuniaires dont la valeur litigieuse est, compte tenu des montants réclamés par les appelants à l'intimé,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2.1</w:t>
      </w:r>
    </w:p>
    <w:p>
      <w:r>
        <w:t>Les appelants ont déposé plusieurs pièces nouvelles à l'appui de leur appel.</w:t>
      </w:r>
    </w:p>
    <w:p>
      <w:r>
        <w:t>- 11/18 -</w:t>
      </w:r>
    </w:p>
    <w:p>
      <w:r>
        <w:t>C/14249/2013</w:t>
      </w:r>
    </w:p>
    <w:p>
      <w:r>
        <w:rPr>
          <w:b/>
        </w:rPr>
        <w:t>E. 2.2</w:t>
      </w:r>
    </w:p>
    <w:p>
      <w:r>
        <w:t>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Code de procédure civile commenté, BOHNET/HALDY/ JEANDIN/SCHWEIZER/TAPPY [éd.], 2011, n. 3 ad art. 317 CPC).</w:t>
      </w:r>
    </w:p>
    <w:p>
      <w:r>
        <w:rPr>
          <w:b/>
        </w:rPr>
        <w:t>E. 2.3</w:t>
      </w:r>
    </w:p>
    <w:p>
      <w:r>
        <w:t>En l'espèce, la pièce no 1 produite par les appelants figure déjà dans le dossier de première instance. Il ne s'agit donc pas d'une pièce nouvelle. Quant aux pièces nos 2 et 3, elles attestent de faits survenus postérieurement au prononcé du jugement querellé, de sorte qu'elles ne pouvaient être produites en première instance, et ont été déposées sans retard. Les conditions posées par l'art. 317 al. 1 CPC étant respectées, leur recevabilité sera admise.</w:t>
      </w:r>
    </w:p>
    <w:p>
      <w:r>
        <w:rPr>
          <w:b/>
        </w:rPr>
        <w:t>E. 3.1</w:t>
      </w:r>
    </w:p>
    <w:p>
      <w:r>
        <w:t>Les appelants reprochent au premier juge d'avoir considéré que l'intimé n'avait pas, au mépris de la bonne foi, fait en sorte que le transfert à son nom du bail des locaux abritant le restaurant soit refusé. Ils soutiennent que les questions examinées pour parvenir à cette conclusion, à savoir la légitimité du refus de la régie de transférer le bail ainsi que l'existence d'une volonté de l'intimé de dissimuler une éventuelle insolvabilité, sont sans pertinence pour l'issue du litige. Ils relèvent que la promesse de vente prévoyait une obligation de l'intimé de collaborer pleinement à la réalisation de la condition suspensive relative au transfert du bail. Or, il résultait du témoignage de P______, confirmé par celui de Q______, qu'elle n'avait pas pu finaliser le dossier de l'intimé et établir un nouveau bail, car elle n'avait pas reçu tous les renseignements requis, malgré plusieurs demandes en ce sens, et n'avait en conséquence pas pu déterminer de façon claire la situation financière dudit intimé. Ni P______ ni Q______ n'avaient en revanche déclaré que la candidature de l'intimé avait été refusée en raison de son insolvabilité. Le courriel de la régie du 26 juillet 2012 précisait d'ailleurs expressément que c'était le dossier remis par l'intimé qui n'attestait pas d'une solvabilité suffisante et le rapport de l'agence de détective mandaté par ladite régie confirmait qu'une location au nom de G______ était envisageable. L'intimé avait au demeurant interdit à O______ de transmettre à la régie ses relevés bancaires. Compte tenu de ces éléments, le premier juge aurait dû retenir que seul le manque de coopération et de transparence de l'intimé au sujet de sa situation financière était à l'origine du refus de la régie de transférer le bail. L'intimé conteste, pour sa part, être responsable du refus de la régie de transférer le bail du restaurant à son nom. Il estime avoir pleinement collaboré avec celle-ci, soulignant notamment lui avoir remis sa déclaration d'impôts ainsi qu'un avis de taxation. En outre, la régie avait en sa possession un rapport de renseignement préavisant favorablement sa candidature. Il relève pour le surplus que les</w:t>
      </w:r>
    </w:p>
    <w:p>
      <w:r>
        <w:t>- 12/18 -</w:t>
      </w:r>
    </w:p>
    <w:p>
      <w:r>
        <w:t>C/14249/2013 exigences posées par la régie pour le transfert de bail étaient excessives, que son refus de procéder audit transfert a été abrupt, puisqu'il est intervenu quelques jours seulement après qu'elle lui ait demandé des pièces complémentaires et sans qu'il n'ait au préalable été mis en demeure de fournir certains documents, que ce refus ne se fondait pas sur un manque de collaboration de sa part mais sur le fait qu'il n'attestait pas d'une solvabilité suffisante, et que O______, mandatée par les appelants, lui avait assuré que son dossier était suffisamment solide et l'avait conforté dans son opinion selon laquelle les demandes de la régie étaient excessives.</w:t>
      </w:r>
    </w:p>
    <w:p>
      <w:r>
        <w:rPr>
          <w:b/>
        </w:rPr>
        <w:t>E. 3.2</w:t>
      </w:r>
    </w:p>
    <w:p>
      <w:r>
        <w:t>Un contrat dont l'efficacité est subordonnée à la réalisation préalable d'une condition (condition dite suspensive) ne produit d'effets qu'à compter du moment où la condition s'accomplit, si les parties n'ont pas manifesté une intention contraire (art. 151 al. 2 CO). L'art. 156 CO, qui constitue une concrétisation de l'interdiction de l'abus de droit posée par l'art. 2 al. 2 CC (arrêts du Tribunal fédéral 4A_561/2012 du 23 janvier 2013 consid. 3.1 et 4C.38/2007 du 30 avril 2007 consid. 3.4), prévoit toutefois que la condition est réputée accomplie quand l'une des parties en a empêché l'avènement au mépris des règles de la bonne foi. Ainsi, lorsqu'un comportement contraire à la bonne foi et une relation de causalité entre ce comportement et le défaut de réalisation de la condition est établi, ladite condition est réputée réalisée. La partie lésée dispose alors d'une action en exécution des obligations (PICHONNAZ, Commentaire romand CO I, 2ème éd., 2012, n. 19 ad art. 156 CO). La doctrine admet par ailleurs qu'il est également possible de se prévaloir de l'art. 97 CO (HONSELL, Kurzkommentar OR : Art. 1- 1186 OR, 2014, no 9 ad art. 156 CO; EHRAT, Commentaire bâlois CO I, 2011, no 9 ad art. 156 CO), à tout le moins en présence d'une violation positive du contrat (PICHONNAZ, op. cit., n. 19 ad art. 156 CO).</w:t>
      </w:r>
    </w:p>
    <w:p>
      <w:r>
        <w:rPr>
          <w:b/>
        </w:rPr>
        <w:t>E. 3.3</w:t>
      </w:r>
    </w:p>
    <w:p>
      <w:r>
        <w:t>A teneur de l'art. 97 al. 1 CO, lorsque le créancier ne peut obtenir l'exécution de l'obligation ou ne peut l'obtenir qu'imparfaitement, le débiteur est tenu de réparer le dommage en résultant, à moins qu'il ne prouve qu'aucune faute ne lui est imputable. Cette disposition s'applique également en cas de violation positive du contrat (THEVENOZ, Commentaire romand CO I, 2ème éd., 2012, n. 19 ad art. 97 CO et les réf. citées). Il y a violation positive du contrat lorsqu'une partie au contrat viole un devoir relatif qui lui était imposé par l'obligation contractuelle le liant à son cocontractant : il fait quelque chose dont il devrait s'abstenir (TERCIER/ PICHONNAZ, Le droit des obligations, 2012, n. 1221, p. 274-275).</w:t>
      </w:r>
    </w:p>
    <w:p>
      <w:r>
        <w:t>- 13/18 -</w:t>
      </w:r>
    </w:p>
    <w:p>
      <w:r>
        <w:t>C/14249/2013 En vertu de l'art. 8 CC, il incombe à la partie lésée d'apporter la preuve des faits permettant de constater l'existence d'une violation positive du contrat.</w:t>
      </w:r>
    </w:p>
    <w:p>
      <w:r>
        <w:rPr>
          <w:b/>
        </w:rPr>
        <w:t>E. 3.4</w:t>
      </w:r>
    </w:p>
    <w:p>
      <w:r>
        <w:t>En l'espèce, il n'est pas contesté que la validité de la promesse de vente conclue par les parties était subordonnée à la condition suspensive que le bail des locaux du restaurant L______ soit transféré au nom de l'intimé ni que cette condition ne s'est pas réalisée, ce qui a entraîné la caducité de ladite promesse. Est en revanche litigieuse la question de savoir si l'intimé a empêché l'avènement de la condition suspensive susmentionnée au mépris des règles de la bonne foi en ne fournissant pas un dossier complet à la régie J______. Si les appelants se sont en première instance fondés sur l'art. 156 CO pour justifier leur position, selon laquelle l'intimé était responsable du refus de la régie d'accepter le transfert de bail, ils ont également soutenu que le comportement reproché à l'intimé était constitutif d'une violation positive de la promesse de vente et ils ont réclamé la réparation du dommage subi sur la base de l'art. 97 CO. Les appelants ne demandant pas l'exécution de la promesse de vente litigieuse mais sollicitant de l'intimé la réparation du dommage causé, le fondement de leur action ne peut reposer que sur l'art. 97 CO et non sur l'art. 156 CO, qui ne permet pas de demander une indemnisation. Il convient donc uniquement d'examiner si les conditions de l'art. 97 CO sont réunies, soit si, ainsi que le soutiennent les appelants, le comportement reproché à l'intimé constitue une violation positive de la promesse de vente. Dans le cadre de la promesse de vente, l'intimé s'est notamment engagé à effectuer les démarches nécessaires auprès de la régie J______ afin que le bail soit transféré à son nom, en particulier à fournir les "garanties d'usage". Il avait donc une obligation de collaboration à l'égard de ladite régie qui impliquait de lui fournir les documents nécessaires à l'exécution du transfert de bail. A teneur du dossier, la régie J______ a procédé à trois demandes de renseignements. La première demande est intervenue le 14 juin 2012 et comprenait des questions au sujet des compétences professionnelles de l'intimé et des modalités de transfert du bail. O______ a, le jour même, répondu à l'ensemble des interrogations de la régie. La seconde demande d'information a été effectuée le 6 juillet 2012. La régie J______ demandait que l'intimé la renseigne sur le montant de son épargne bancaire, lui donne son accord au blocage d'une caution de six mois ou l'engagement d'une autre personne de se porter garante du paiement du loyer et lui remette une copie de sa patente, son avis de taxation 2011 en précisant sur quel</w:t>
      </w:r>
    </w:p>
    <w:p>
      <w:r>
        <w:t>- 14/18 -</w:t>
      </w:r>
    </w:p>
    <w:p>
      <w:r>
        <w:t>C/14249/2013 revenu il avait été taxé ainsi qu'un curriculum vitae. Seule une partie de ces documents, soit le curriculum vitae de l'intimé et une copie de sa patente, a été transmis à la régie J______ en date du 18 juillet 2012, avec la précision que les documents manquants seraient envoyés ultérieurement. Un jour après, soit le 19 juillet 2012, la régie J______ a adressé une troisième demande de renseignements. Elle sollicitait à nouveau une copie de la patente de l'intimé et réclamait au surplus un descriptif de ses activités professionnelles plus détaillé ainsi qu'un document justifiant de ses revenus actuels et de leur source. Elle précisait en outre qu'à réception de ces documents, elle soumettrait la demande de transfert de bail au propriétaire des locaux. Le dossier ne permet pas de déterminer si l'ensemble des documents demandés en date du 6 juillet 2012 ont finalement été fournis. La réponse à cette question est toutefois sans pertinence. En effet, dans la mesure où la régie J______ précisait dans sa dernière demande de renseignements, qu'à réception d'une copie de la patente de l'intimé, d'un descriptif de ses activités professionnelles plus détaillé et d'un document justifiant de ses revenus actuels ainsi que de leur source, elle contacterait le bailleur afin de lui soumettre la demande de transfert de bail, l'intimé pouvait de bonne foi comprendre qu'elle renonçait à lui demander d'autres documents que ceux-ci. Or, le 23 juillet 2012, l'intimé a fourni un descriptif plus détaillé de ses activités professionnelles, dont le contenu n'a fait l'objet d'aucune remarque de la part de la régie J______. Il a en outre indiqué qu'il enverrait son certificat de cafetier par la poste. Il ne ressort pas du dossier, et cela n'est pas soutenu, qu'il ne se serait pas exécuté. Enfin, s'il n'a pas fourni de documents justifiant de ses revenus actuels et de leur source, il a en revanche précisé qu'il n'avait à l'époque pas de revenu puisque son souhait était de travailler dans le restaurant qu'il envisageait d'acquérir, ce qui explique qu'il n'ait pas remis de documents à ce sujet. Il n'apparaît au demeurant pas que cette affirmation était mensongère puisque l'agence de renseignement mandatée par la régie J______ a, dans son rapport du 29 juin 2012, indiqué qu'elle n'avait pas pu, à compter de mai 2010, établir l'existence de revenus provenant d'une activité lucrative. Ainsi, le fait que l'intimé ait refusé que l'agente en fonds de commerce mandatée par les appelants transmette à la régie J______ des relevés de son compte bancaire n'est pas déterminant puisque ces relevés ne faisaient pas parties des documents exhaustivement réclamés par celle-ci dans sa dernière demande de renseignements. Certes, à teneur des témoignages de deux employées de la régie J______, celle-ci n'a pas reçu tous les justificatifs demandés au sujet des revenus de l'intimé. Il ressort toutefois du témoignage de P______ que toutes les demandes ont été effectuées par écrit. Or, le dossier ne contient que trois demandes (14 juin, 6 et 19</w:t>
      </w:r>
    </w:p>
    <w:p>
      <w:r>
        <w:t>- 15/18 -</w:t>
      </w:r>
    </w:p>
    <w:p>
      <w:r>
        <w:t>C/14249/2013 juillet 2012) auxquelles l'intimé a donné suite. Si d'autres demandes ont été faites, elles ne ressortent pas du dossier de sorte qu'il n'est pas possible d'établir si ce dernier en a eu connaissance ni si une réponse leur a été apportée. Dans la mesure où les demandes de renseignements étaient en l'espèce généralement adressées à O______, il n'est pas exclu que certaines requêtes de la régie n'aient pas été transmises à l'intimé. Il n'apparaît par ailleurs pas que la régie J______ ait directement requis de l'intimé, après qu'il eût indiqué qu'il n'avait à l'époque pas de revenus, des renseignements ou documents complémentaires à ce sujet. Ce dernier pouvait ainsi légitimement penser que les informations fournies étaient suffisantes. Compte tenu de ce qui précède, aucune violation de ses obligations contractuelles ne peut être reprochée à l'intimé. Partant, la décision du premier juge de débouter les appelants de leur demande en paiement n'est pas critiquable. Elle sera donc confirmée et l'appel rejeté sur ce point.</w:t>
      </w:r>
    </w:p>
    <w:p>
      <w:r>
        <w:rPr>
          <w:b/>
        </w:rPr>
        <w:t>E. 4.1</w:t>
      </w:r>
    </w:p>
    <w:p>
      <w:r>
        <w:t>Les appelants reprochent au premier juge de ne pas avoir appliqué l'art. 107 al. 1 let. b et f CPC pour répartir les frais judiciaires et dépens de la procédure. Ils font valoir que les frais auraient dû être mis à la seule charge de l'intimé, subsidiairement que les frais judiciaires auraient dû être réduits et qu'aucun dépens n'aurait dû être accordé au précité aux motifs que son comportement contraire à la bonne foi les a contraints à intenter le présent procès afin d'obtenir réparation, qu'il est responsable du refus du transfert de bail, qu'il s'est empressé à la suite de ce refus de demander le remboursement des acomptes versés sans proposer de solution alternative et qu'il a fait pression sur O______ pour qu'elle lui restitue lesdits acomptes. Ils rappellent également qu'ils ne bénéficient que de revenus modestes.</w:t>
      </w:r>
    </w:p>
    <w:p>
      <w:r>
        <w:rPr>
          <w:b/>
        </w:rPr>
        <w:t>E. 4.2</w:t>
      </w:r>
    </w:p>
    <w:p>
      <w:r>
        <w:t>Les frais, qui comprennent les frais judiciaires et les dépens (art. 95 al. 1 CPC), sont en principe mis à la charge de la partie qui succombe (art. 106 al. 1 CPC). Le tribunal est toutefois libre de s'écarter de cette règle et de répartir les frais selon sa libre appréciation, en statuant selon les règles du droit et de l'équité, dans les hypothèses prévues par l'art. 107 al. 1 CPC (arrêt du Tribunal fédéral 5A_816/2013 du 12 février 2014 consid. 4.1). Tel est notamment le cas lorsqu'une partie a intenté le procès de bonne foi (art. 107 al. 1 let. b). Cette disposition peut en particulier trouver application si le procès finalement perdu a été causé par une attitude critiquable ou prêtant à confusion du défendeur, créant une apparence justifiant d'une certaine manière le procès infondé dirigé contre lui, par exemple lorsque c'est le comportement d'une partie qui aurait incité l'autre à agir (TAPPY, in CPC, Code de procédure civile commenté, BOHNET/HALDY/JEANDIN/SCHWEIZER/TAPPY [éd.], 2011, no 15 ad art. 107 CPC).</w:t>
      </w:r>
    </w:p>
    <w:p>
      <w:r>
        <w:t>- 16/18 -</w:t>
      </w:r>
    </w:p>
    <w:p>
      <w:r>
        <w:t>C/14249/2013</w:t>
      </w:r>
    </w:p>
    <w:p>
      <w:r>
        <w:t>Le tribunal peut également déroger à la règle de l'art. 106 CPC lorsque des circonstances particulières rendent la répartition en fonction du sort de la cause inéquitable (art. 107 al. 1 let. f), notamment en cas d'inégalité économique des parties (Message du Conseil fédéral relatif au CPC, FF 2006 p. 6908). Prise isolément, l'inégalité économique ne justifie toutefois pas de s'écarter du régime ordinaire de répartition des frais si seule la partie succombante a un intérêt à obtenir gain de cause (arrêt du Tribunal fédéral 5A_482/2014 du 14 janvier 2015 consid. 6).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w:t>
      </w:r>
    </w:p>
    <w:p>
      <w:r>
        <w:rPr>
          <w:b/>
        </w:rPr>
        <w:t>E. 4.3</w:t>
      </w:r>
    </w:p>
    <w:p>
      <w:r>
        <w:t>L'art. 7 al. 1 du Règlement genevois fixant le tarif des frais en matière civile (E 1 05.10) prévoit en outre que lorsque l'équité le justifie, l'émolument forfaitaire de décision peut être réduit, au maximum à concurrence des trois quarts, mais, en principe, pas en deçà d'un solde de 1'000 fr.</w:t>
      </w:r>
    </w:p>
    <w:p>
      <w:r>
        <w:rPr>
          <w:b/>
        </w:rPr>
        <w:t>E. 4.4</w:t>
      </w:r>
    </w:p>
    <w:p>
      <w:r>
        <w:t>En l'espèce, le premier juge a fait application de l'art. 106 al. 1 CPC et ainsi mis les frais du procès à la charge des appelants, qui succombaient. Cette décision n'est pas critiquable. En effet, les appelants disposaient, avant l'introduction de la présente procédure, des éléments nécessaires pour apprécier les risques du procès puisque, en tant que parties à la promesse de vente, les circonstances de fait à l'origine de leur action leur étaient connues. Il n'apparaît donc pas que la perte du procès soit due à une attitude critiquable de l'intimé. En outre, en invoquant la caducité de la promesse de vente, ce dernier n'a fait que constater une conséquence librement convenue par les parties dans l'hypothèse où le transfert de bail serait refusé. L'équité ne saurait ainsi commander que ce comportement entraîne la mise à sa charge des frais de la procédure. Enfin, dans la mesure où seuls les appelants ont un intérêt au gain du procès, une éventuelle disparité économique entre les parties ne justifie pas, à elle seule, à teneur de la jurisprudence susmentionnée, de déroger au régime ordinaire de répartition des frais. Pour les mêmes motifs, une réduction des frais judiciaires ne se justifie pas sur le principe. Comme les appelants n'ont pas critiqué le calcul opéré par le premier juge pour arrêter les frais judiciaires et dépens, cette question ne sera pas examinée. Le jugement entrepris sera donc également confirmé sur ce point.</w:t>
      </w:r>
    </w:p>
    <w:p>
      <w:r>
        <w:t>- 17/18 -</w:t>
      </w:r>
    </w:p>
    <w:p>
      <w:r>
        <w:t>C/14249/2013</w:t>
      </w:r>
    </w:p>
    <w:p>
      <w:r>
        <w:rPr>
          <w:b/>
        </w:rPr>
        <w:t>E. 5</w:t>
      </w:r>
    </w:p>
    <w:p>
      <w:r>
        <w:t>Compte tenu de ce qui précède, l'appel sera rejeté et le jugement entrepris confirmé dans son intégralité.</w:t>
      </w:r>
    </w:p>
    <w:p>
      <w:r>
        <w:rPr>
          <w:b/>
        </w:rPr>
        <w:t>E. 6</w:t>
      </w:r>
    </w:p>
    <w:p>
      <w:r>
        <w:t>Les frais judiciaires de la procédure d'appel seront arrêtés à 10'400 fr. (art. 13, 17 et 35 du Règlement fixant le tarif des frais en matière civile [RTFMC]) et mis à la charge des appelants qui succombent dans leurs conclusions (art. 106 al. 1 CPC). Ils seront entièrement compensés avec l'avance de frais, d'un montant correspondant, fournie par ces derniers, laquelle reste acquise à l'Etat de Genève (art. 111 al. 1 CPC). Les appelants seront également condamnés, solidairement entre eux, à s'acquitter des dépens d'appel de l'intimé, lesquels seront arrêtés à 5'500 fr., débours et TVA inclus (art. 84, 85 et 90 RTFMC; art. 25 et 26 LaCC). Pour les mêmes motifs qu'exposés au considérant 4.4, une répartition en équité des frais de l'appel, respectivement une réduction de ceux-ci, ne se justifie pas. * * * * *</w:t>
      </w:r>
    </w:p>
    <w:p>
      <w:r>
        <w:t>- 18/18 -</w:t>
      </w:r>
    </w:p>
    <w:p>
      <w:r>
        <w:t>C/14249/2013 PAR CES MOTIFS, La Chambre civile : A la forme : Déclare recevable l'appel interjeté le 14 septembre 2015 par B______, E______, C______, D______ et F______ contre le jugement JTPI/8473/2015 rendu le 20 juillet 2015 par le Tribunal de première instance dans la cause C/14249/2013-7. Au fond : Confirme le jugement entrepris. Déboute les parties de toutes autres conclusions. Sur les frais : Arrête les frais judiciaires de l'appel à 10'400 fr., les met à la charge de B______, E______, C______, D______ et F______, pris solidairement, et dit qu'ils sont compensés avec l'avance de frais fournie par ces derniers, qui reste acquise à l'Etat de Genève. Condamne B______, E______, C______, D______ et F______, solidairement entre eux, à verser à G______ 5'500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