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ACJC/349/2013 vom 29. November 2012</w:t>
      </w:r>
    </w:p>
    <w:p>
      <w:r>
        <w:t>GE Cour de justice, 2012-11-29, FR</w:t>
      </w:r>
    </w:p>
    <w:p>
      <w:r>
        <w:rPr>
          <w:b/>
        </w:rPr>
        <w:t xml:space="preserve">Quelle: </w:t>
      </w:r>
      <w:r>
        <w:t>https://mcp.opencaselaw.ch/entscheid/ge_gerichte_ACJC_349_2013</w:t>
      </w:r>
    </w:p>
    <w:p>
      <w:r>
        <w:t>FR: GE_GERICHTE ACJC/349/2013 du 29 novembre 2012</w:t>
      </w:r>
    </w:p>
    <w:p>
      <w:r>
        <w:t>IT: GE_GERICHTE ACJC/349/2013 del 29 novembre 2012</w:t>
      </w:r>
    </w:p>
    <w:p>
      <w:pPr>
        <w:pStyle w:val="Heading2"/>
      </w:pPr>
      <w:r>
        <w:t>Regeste</w:t>
      </w:r>
    </w:p>
    <w:p>
      <w:r>
        <w:t>Résumé: Sentence arbitrale - Mainlevée défitive</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w:t>
      </w:r>
    </w:p>
    <w:p>
      <w:r>
        <w:t>- 6/11 -</w:t>
      </w:r>
    </w:p>
    <w:p>
      <w:r>
        <w:t>C/18034/2012 5P.174/2005 du 7 octobre 2005). Dans cette mesure, la Cour applique librement le droit.</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 ci a rendu la décision attaquée. L'attestation de non-recours et l'accusé de réception de la sentence arbitrale ont été produits en première instance par l'intimée, de sorte que ces pièces ne sont pas nouvelles. En revanche, le règlement d'arbitrage et de sa traduction n'ont pas été versés à la procédure de première instance; le règlement n'est pas publié ni facilement accessible, notamment par internet, de sorte qu'il ne peut pas être considéré comme un fait notoire. Ainsi, il s'agit de pièces nouvelles, irrecevables en recours.</w:t>
      </w:r>
    </w:p>
    <w:p>
      <w:r>
        <w:rPr>
          <w:b/>
        </w:rPr>
        <w:t>E. 3.1</w:t>
      </w:r>
    </w:p>
    <w:p>
      <w:r>
        <w:t>Aux termes de l'art. 80 al. 1 LP, le créancier qui est au bénéfice d'un jugement exécutoire peut requérir du juge la mainlevée définitive de l'opposition.</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Poursuite et faillite, n. 3, 4 et 6 ad art. 80 LP).</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La requête en mainlevée doit ainsi être rejetée lorsque la cause de l'obligation figurant sur le commandement de payer et dans le titre de mainlevée ne sont pas identiques (STAEHELIN, Commentaire bâlois., SchKG I, 1998, n. 37 ad art. 80 LP).</w:t>
      </w:r>
    </w:p>
    <w:p>
      <w:r>
        <w:rPr>
          <w:b/>
        </w:rPr>
        <w:t>E. 3.2</w:t>
      </w:r>
    </w:p>
    <w:p>
      <w:r>
        <w:t>Le concordat sur l'arbitrage du 27 mars 1969 (CIA), applicable au présent litige antérieur à l'entrée en vigueur du CPC (art. 404 CPC), prévoit que le tribunal supérieur de la juridiction civile ordinaire du canton où se trouve le siège du tribunal arbitral est l'autorité judiciaire compétente, sous réserve de l'article 45, 2e alinéa CIA, pour recevoir en dépôt la sentence arbitrale et la notifier (art. 3</w:t>
      </w:r>
    </w:p>
    <w:p>
      <w:r>
        <w:t>- 7/11 -</w:t>
      </w:r>
    </w:p>
    <w:p>
      <w:r>
        <w:t>C/18034/2012 let. f CIA). Le tribunal arbitral pourvoit au dépôt de la sentence auprès de l'autorité judiciaire prévue à l'article 3 (art. 35 al. 1 CIA). Cette autorité procède à la notification de la sentence aux parties, en mentionnant la date du dépôt. Les parties peuvent renoncer au dépôt. Elles peuvent de même renoncer à la notification de la sentence par l'autorité judiciaire; dans ce cas, la sentence est notifiée par les soins du tribunal arbitral (art. 35 al. 4 et 5 CIA). L'art. 35 CIA est de droit dispositif, de sorte que les parties peuvent renoncer soit au dépôt et à la notification par l'autorité judiciaire, soit à cette notification seulement. Cette renonciation peut être expresse ou implicite et résulter notamment de la soumission au règlement d'une institution d'arbitrage, prévoyant que la sentence est déposée en mains de celle-ci et notifiée par elle aux parties (SJ 1982 239 consid. 2 et 3b; LALIVE/POUDRET/REYMOND, Le droit de l'arbitrage interne et international en Suisse, Lausanne, 1989, art. 35, p. 195; JOLIDON, Commentaire du Concordat suisse sur l'arbitrage, Berne, 1984, art. 35, p. 489/490). Selon la jurisprudence du Tribunal fédéral, on ne peut pas déduire de l'absence de protestation d'une partie contre le mode de signification d'une sentence arbitrale, au moment de la réception de celle-ci ou peu après, que celle-là aurait renoncé à l'intervention de l'autorité judiciaire, en particulier pour procéder à la notification de la sentence arbitrale. Le silence d'une partie ne peut valoir renonciation (à la notification) que si elle a conscience de sa portée, par exemple en accusant réception de la décision et en déclarant ne pas formuler de réserves. Par ailleurs, une partie est lésée dans ses droits si, sans son accord, la sentence lui est notifiée par la juridiction arbitrale (arrêt du Tribunal fédéral du 10 décembre 1981 O. c. B. in SJ 1982 I 239).</w:t>
      </w:r>
    </w:p>
    <w:p>
      <w:r>
        <w:t>Dès qu'elle a été communiquée, la sentence arbitrale déploie les même effets qu'une décision judiciaire entrée en force et exécutoire (art. 387 CPC).</w:t>
      </w:r>
    </w:p>
    <w:p>
      <w:r>
        <w:rPr>
          <w:b/>
        </w:rPr>
        <w:t>E. 3.3</w:t>
      </w:r>
    </w:p>
    <w:p>
      <w:r>
        <w:t>En l'espèce, l'intimée a fondé sa requête de mainlevée définitive sur la sentence arbitrale du 31 mars 2011 rendue par le Tribunal arbitral de la Chambre de Commerce du Canton du Zurich. Dans le cadre de la procédure arbitrale, les parties sont parvenues à un accord et ont requis du Tribunal arbitral d'intégrer leur transaction dans une sentence finale. Un projet leur a été soumis, dont on ignore s'il intégrait le mode de notification figurant dans la version définitive, sous partie V, art. 8 et 9. Il ne ressort pas des pièces versées à la procédure que les parties auraient accepté le mode de signification figurant dans cette partie V de la sentence. Il ne peut ainsi être retenu que la recourante aurait renoncé tacitement ou implicitement à la notification de la sentence par l'autorité judiciaire.</w:t>
      </w:r>
    </w:p>
    <w:p>
      <w:r>
        <w:t>- 8/11 -</w:t>
      </w:r>
    </w:p>
    <w:p>
      <w:r>
        <w:t>C/18034/2012 En conséquence, la notification de la sentence par le Tribunal arbitral directement aux parties n'est pas conforme à cette dérogation. La réception le 1er avril 2011 de la sentence par la recourante n'a pas eu d'effet curatif, dès lors qu'elle n'a notamment pas accepté cette notification sans formuler de réserves. La notification de la sentence est irrégulière. Le Tribunal de première instance a partant à tort prononcé la mainlevée définitive de l'opposition formée au commandement de payer.</w:t>
      </w:r>
    </w:p>
    <w:p>
      <w:r>
        <w:rPr>
          <w:b/>
        </w:rPr>
        <w:t>E. 3.4</w:t>
      </w:r>
    </w:p>
    <w:p>
      <w:r>
        <w:t>Dans la procédure sommaire de mainlevée définitive (cf. art. 25 ch. 2 let. a LP), le juge n'a ni à revoir ni à interpréter le titre qui lui est soumis (ATF 124 III 501 consid. 3a p. 503 et les références citées). Le juge doit vérifier d'office notamment l'identité entre le poursuivant et le créancier désigné dans le titre (STAEHELIN, op. cit., n. 29 ad art. 80; GILLIERON, op. cit., n. 73 s. ad art. 82 LP). Selon l’art. 2 al. 2 CC, l’abus manifeste d’un droit n’est pas protégé par la loi. Constituent des cas typiques d'abus de droit une attitude contradictoire ou l'utilisation d'une institution juridique contrairement à son but. A ainsi été jugé abusif le comportement d'une partie qui, après s'être rendu compte d'un vice de forme résultant de la non-utilisation de la formule officielle lors de la fixation d'un loyer, s'était abstenu de protester dans le dessein d'en tirer ultérieurement profit (ATF 113 II 187 consid. 1a).</w:t>
      </w:r>
    </w:p>
    <w:p>
      <w:r>
        <w:rPr>
          <w:b/>
        </w:rPr>
        <w:t>E. 3.5</w:t>
      </w:r>
    </w:p>
    <w:p>
      <w:r>
        <w:t>L'irrégularité de la notification, admise en l'espèce, invoquée par la recourante ne saurait être constitutive d'un abus de droit. En particulier, la recourante n'a pas adopté de comportement contradictoire. Rien ne permet ainsi de retenir que la recourante agirait de manière abusive.</w:t>
      </w:r>
    </w:p>
    <w:p>
      <w:r>
        <w:rPr>
          <w:b/>
        </w:rPr>
        <w:t>E. 3.6</w:t>
      </w:r>
    </w:p>
    <w:p>
      <w:r>
        <w:t>Les considérations qui précèdent conduisent à l'admission du recours et à l'annulation du jugement entrepris.</w:t>
      </w:r>
    </w:p>
    <w:p>
      <w:r>
        <w:rPr>
          <w:b/>
        </w:rPr>
        <w:t>E. 4</w:t>
      </w:r>
    </w:p>
    <w:p>
      <w:r>
        <w:t>L'intimée, qui succombe, sera condamnée aux frais du recours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2'000 fr., l'émolument de décision de recours sera fixé à 3'000 fr. et mis à la charge de l'intimée, compensé avec l'avance de frais opérée par la recourante acquise à l'Etat par compensation (art. 111 CPC). L'intimée sera en conséquence condamnée à verser cette somme à la recourante.</w:t>
      </w:r>
    </w:p>
    <w:p>
      <w:r>
        <w:t>- 9/11 -</w:t>
      </w:r>
    </w:p>
    <w:p>
      <w:r>
        <w:t>C/18034/2012 L'intimée sera également condamnée aux dépens de la recourante assistée d'un conseil devant la Cour, arrêtés à 2'000 fr., débours et TVA compris, compte tenu du travail fourni en appel et de la valeur litigieuse (art. 96 et 105 al. 2 CPC; art. 85, 89 et 90 du règlement fixant le tarif des greffes en matières civile du 22 décembre 2010, E 1 05.10; art. 23, 25 et 26 LaCC; art. 25 LTVA).</w:t>
      </w:r>
    </w:p>
    <w:p>
      <w:r>
        <w:rPr>
          <w:b/>
        </w:rPr>
        <w:t>E. 5</w:t>
      </w:r>
    </w:p>
    <w:p>
      <w:r>
        <w:t>La valeur litigieuse, au sens de l'art. 51 LTF, est supérieure à 30'000 fr. * * * * *</w:t>
      </w:r>
    </w:p>
    <w:p>
      <w:r>
        <w:t>- 10/11 -</w:t>
      </w:r>
    </w:p>
    <w:p>
      <w:r>
        <w:t>C/18034/2012 PAR CES MOTIFS, La Chambre civile : A la forme : Déclare recevable le recours interjeté par A______SA contre le jugement JTPI/17633/2012 rendu le 29 novembre 2012 par le Tribunal de première instance dans la cause C/18034/2012-8 SML. Déclare irrecevables les pièces nouvelles produites par B______SA. Au fond : Admet le recours. Annule le jugement entrepris. Déboute B______SA des fins de sa requête en mainlevée définitive. Déboute les parties de toutes autres conclusions. Sur les frais du recours : Arrête les frais judiciaires à 3'000 fr. et les met à charge de B______SA, couverts par l'avance de frais fournie par A______SA, acquise à l'Etat. Condamne B______SA à verser à A______SA 3'000 fr. à ce titre. Condamne B______SA à verser à A______SA 2'000 fr. à titre de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w:t>
      </w:r>
    </w:p>
    <w:p>
      <w:r>
        <w:t>- 11/11 -</w:t>
      </w:r>
    </w:p>
    <w:p>
      <w:r>
        <w:t>C/18034/2012 notification avec expédition complète (art. 100 al. 1 LTF) par devant le Tribunal fédéral par la voie du recours en matière civile.</w:t>
      </w:r>
    </w:p>
    <w:p>
      <w:r>
        <w:t>Le recours doit être adressé au Tribunal fédéral, 1000 Lausanne 14.</w:t>
      </w:r>
    </w:p>
    <w:p>
      <w:r>
        <w:t>La valeur litigieuse des conclusions pécuniaires est supérieure ou égal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