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ACJC/348/2021 vom 22. März 2021</w:t>
      </w:r>
    </w:p>
    <w:p>
      <w:r>
        <w:t>GE Cour de justice, 2021-03-22, FR</w:t>
      </w:r>
    </w:p>
    <w:p>
      <w:r>
        <w:rPr>
          <w:b/>
        </w:rPr>
        <w:t xml:space="preserve">Quelle: </w:t>
      </w:r>
      <w:r>
        <w:t>https://mcp.opencaselaw.ch/entscheid/ge_gerichte_ACJC_348_2021</w:t>
      </w:r>
    </w:p>
    <w:p>
      <w:r>
        <w:t>FR: GE_GERICHTE ACJC/348/2021 du 22 mars 2021</w:t>
      </w:r>
    </w:p>
    <w:p>
      <w:r>
        <w:t>IT: GE_GERICHTE ACJC/348/2021 del 22 marzo 2021</w:t>
      </w:r>
    </w:p>
    <w:p>
      <w:pPr>
        <w:pStyle w:val="Heading2"/>
      </w:pPr>
      <w:r>
        <w:t>Erwägungen</w:t>
      </w:r>
    </w:p>
    <w:p>
      <w:r>
        <w:rPr>
          <w:b/>
        </w:rPr>
        <w:t>E. 1.1</w:t>
      </w:r>
    </w:p>
    <w:p>
      <w:r>
        <w:t>Les décisions d'évacuation sont susceptibles de faire l'objet d'un appel (art. 308 CPC).</w:t>
      </w:r>
    </w:p>
    <w:p>
      <w:r>
        <w:t>Dans les affaires patrimoniales, l'appel est recevable si la valeur litigieuse au dernier état des conclusions est de 10'000 fr. au moins (art. 308 al. 2 CPC).</w:t>
      </w:r>
    </w:p>
    <w:p>
      <w:r>
        <w:t>Si les conditions pour ordonner une expulsion selon la procédure sommaire en protection de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et l'arrêt cité; 4A_549/2008 du 19 janvier 2009 consid. 1).</w:t>
      </w:r>
    </w:p>
    <w:p>
      <w:r>
        <w:rPr>
          <w:b/>
        </w:rPr>
        <w:t>E. 1.2</w:t>
      </w:r>
    </w:p>
    <w:p>
      <w:r>
        <w:t>En l'espèce, le loyer mensuel pour la surface commerciale est de 5'000 fr., charges comprises. La valeur litigieuse est ainsi largement supérieure à 10'000 fr.</w:t>
      </w:r>
    </w:p>
    <w:p>
      <w:r>
        <w:t>La voie de l'appel est dès lors ouverte en ce qui concerne le prononcé de l'évacuation.</w:t>
      </w:r>
    </w:p>
    <w:p>
      <w:r>
        <w:t>L'appel, interjeté dans le délai et suivant la forme prescrits par la loi (art. 311 al. 1 et 314 al. 1 CPC), est recevable sous cet angle.</w:t>
      </w:r>
    </w:p>
    <w:p>
      <w:r>
        <w:rPr>
          <w:b/>
        </w:rPr>
        <w:t>E. 1.3</w:t>
      </w:r>
    </w:p>
    <w:p>
      <w:r>
        <w:t>L'appel peut être formé pour violation du droit (art. 310 let. a CPC) et constatation inexacte des faits (art. 310 let. b CPC). L'instance d'appel dispose ainsi d'un plein pouvoir d'examen de la cause.</w:t>
      </w:r>
    </w:p>
    <w:p>
      <w:r>
        <w:rPr>
          <w:b/>
        </w:rPr>
        <w:t>E. 1.4</w:t>
      </w:r>
    </w:p>
    <w:p>
      <w:r>
        <w:t>En revanche, seule la voie du recours est ouverte contre les mesures d'exécution de l'évacuation prononcées par les premiers juges (art. 309 let. a CPC). Le recours, déposé dans la forme et le délai prescrits (art. 321 al. 1 et 2 CPC), est également recevable sous cet angle.</w:t>
      </w:r>
    </w:p>
    <w:p>
      <w:r>
        <w:rPr>
          <w:b/>
        </w:rPr>
        <w:t>E. 1.5</w:t>
      </w:r>
    </w:p>
    <w:p>
      <w:r>
        <w:t>Le recours est recevable pour violation du droit et constatation manifeste inexacte des faits (art. 320 CPC).</w:t>
      </w:r>
    </w:p>
    <w:p>
      <w:r>
        <w:t>- 7/11 -</w:t>
      </w:r>
    </w:p>
    <w:p>
      <w:r>
        <w:t>C/17548/2020</w:t>
      </w:r>
    </w:p>
    <w:p>
      <w:r>
        <w:rPr>
          <w:b/>
        </w:rPr>
        <w:t>E. 1.6</w:t>
      </w:r>
    </w:p>
    <w:p>
      <w:r>
        <w:t>L'appel et le recours, formés contre la même décision, seront traités ensemble dans le présent arrêt (art. 125 CPC).</w:t>
      </w:r>
    </w:p>
    <w:p>
      <w:r>
        <w:t>Par souci de simplification, la sous-locataire sera désignée ci-après comme l'appelante et la sous-bailleresse comme l'intimée.</w:t>
      </w:r>
    </w:p>
    <w:p>
      <w:r>
        <w:rPr>
          <w:b/>
        </w:rPr>
        <w:t>E. 1.7</w:t>
      </w:r>
    </w:p>
    <w:p>
      <w:r>
        <w:t>L'appel, respectivement le recours, doit être écrit et motivé (art. 311 al. 1 et 321 al. 1 CPC).</w:t>
      </w:r>
    </w:p>
    <w:p>
      <w:r>
        <w:t>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Lorsque la décision attaquée se fonde sur plusieurs motivations indépendantes, alternatives ou subsidiaires, toutes suffisantes à sceller le sort de la cause, l'appelant doit, sous peine d'irrecevabilité, démontrer que chacune d'entre elles est contraire au droit en se conformant aux exigences de motivation requises (ATF 138 III 728 consid. 3.4; 138 I 97 consid. 4.1.4; 133 IV 119 consid. 6.3; arrêts du Tribunal fédéral 5A_925/2015 du 4 mars 2016 consid. 3; 5A_966/2015 du 7 janvier 2016 consid. 3.1).</w:t>
      </w:r>
    </w:p>
    <w:p>
      <w:r>
        <w:t>La Cour examine d'office si les conditions de recevabilité sont remplies (art. 60 CPC).</w:t>
      </w:r>
    </w:p>
    <w:p>
      <w:r>
        <w:rPr>
          <w:b/>
        </w:rPr>
        <w:t>E. 1.8.1</w:t>
      </w:r>
    </w:p>
    <w:p>
      <w:r>
        <w:t>En l'espèce, la décision attaquée se fonde sur une double motivation. Le Tribunal a en effet retenu, d'une part, que le courrier du 23 avril 2020 ne contenait aucune déclaration non équivoque de compenser les loyers et, d'autre part, que la compensation devait, en tout état, être écartée puisque les prétentions invoquées par l'appelante à ce titre consistaient en des prétentions en réduction de loyer et en dommages-intérêts découlant d'un défaut allégué de la chose louée.</w:t>
      </w:r>
    </w:p>
    <w:p>
      <w:r>
        <w:t>Dans ses écritures de seconde instance, l'appelante ne s'en prend qu'au premier motif retenu par l'autorité précédente. Elle ne développe en revanche aucune critique sur l'argumentation de la décision attaquée relative à l'exclusion d'une compensation dans le cas d'espèce.</w:t>
      </w:r>
    </w:p>
    <w:p>
      <w:r>
        <w:t>La recevabilité de l'appel est ainsi douteuse au vu des exigences de motivation en la matière. Quoi qu'il en soit, même supposé recevable, l'appel doit de toute façon être rejeté pour les motifs exposés ci-dessous.</w:t>
      </w:r>
    </w:p>
    <w:p>
      <w:r>
        <w:t>- 8/11 -</w:t>
      </w:r>
    </w:p>
    <w:p>
      <w:r>
        <w:t>C/17548/2020</w:t>
      </w:r>
    </w:p>
    <w:p>
      <w:r>
        <w:rPr>
          <w:b/>
        </w:rPr>
        <w:t>E. 1.8.2</w:t>
      </w:r>
    </w:p>
    <w:p>
      <w:r>
        <w:t>Le recours est quant à lui irrecevable faute de motivation suffisante. En effet, bien que l'appelante conclue à l'annulation du chiffre 2 du jugement entrepris, elle ne critique pas la motivation des premiers juges concernant les mesures d'exécution ordonnées.</w:t>
      </w:r>
    </w:p>
    <w:p>
      <w:r>
        <w:rPr>
          <w:b/>
        </w:rPr>
        <w:t>E. 2</w:t>
      </w:r>
    </w:p>
    <w:p>
      <w:r>
        <w:t>L'appelante a produit une pièce nouvelle.</w:t>
      </w:r>
    </w:p>
    <w:p>
      <w:r>
        <w:rPr>
          <w:b/>
        </w:rPr>
        <w:t>E. 2.1</w:t>
      </w:r>
    </w:p>
    <w:p>
      <w:r>
        <w:t>Selon l'art. 317 al. 1 CPC, un moyen de preuve nouveau n'est pris en compte au stade de l'appel que s'il est produit sans retard (let. a) et ne pouvait l'être devant la première instance bien que la partie qui s'en prévaut ait fait preuve de la diligence requise (let. b).</w:t>
      </w:r>
    </w:p>
    <w:p>
      <w:r>
        <w:t>La nature particulière de la procédure sommaire de protection des cas clairs de l'art. 257 CPC exige que le juge d'appel apprécie les faits sur la base des preuves déjà appréciées par le premier juge. La production de pièces nouvelles est ainsi exclue, même si celles-ci pourraient être prises en considération selon l'art. 317 al. 1 CPC (arrêts du Tribunal fédéral 4A_312/2013 du 17 octobre 2013 consid. 3.2 et 4A_420/2012 du 7 novembre 2012 consid. 5).</w:t>
      </w:r>
    </w:p>
    <w:p>
      <w:r>
        <w:rPr>
          <w:b/>
        </w:rPr>
        <w:t>E. 2.2</w:t>
      </w:r>
    </w:p>
    <w:p>
      <w:r>
        <w:t>La pièce nouvelle produite par l'appelante, qui n'est au demeurant pas pertinente, est donc irrecevable, de sorte que la Cour examinera la cause sur la base du dossier qui se trouvait en mains du Tribunal.</w:t>
      </w:r>
    </w:p>
    <w:p>
      <w:r>
        <w:rPr>
          <w:b/>
        </w:rPr>
        <w:t>E. 3</w:t>
      </w:r>
    </w:p>
    <w:p>
      <w:r>
        <w:t>L'appelante fait grief aux premiers juges d'avoir retenu que le cas était clair, en dépit de la compensation de créance qu'elle affirme avoir fait valoir.</w:t>
      </w:r>
    </w:p>
    <w:p>
      <w:r>
        <w:rPr>
          <w:b/>
        </w:rPr>
        <w:t>E. 3.1.1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t>Selon la jurisprudence, l'état de fait n'est pas litigieux lorsqu'il n'est pas contesté par le défendeur. Il est susceptible d'être immédiatement prouvé lorsque les faits peuvent être établis sans retard et sans trop de frais.</w:t>
      </w:r>
    </w:p>
    <w:p>
      <w:r>
        <w:t>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w:t>
      </w:r>
    </w:p>
    <w:p>
      <w:r>
        <w:t>- 9/11 -</w:t>
      </w:r>
    </w:p>
    <w:p>
      <w:r>
        <w:t>C/17548/2020 Fait partie de ces exceptions celle de la compensation ; le débiteur peut l'invoquer même si la créance est contestée (art. 120 al. 2 CO). Il faut alors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 arrêt du Tribunal fédéral 4A_350/2014 du 16 septembre 2014 consid. 2.1).</w:t>
      </w:r>
    </w:p>
    <w:p>
      <w:r>
        <w:t>La situation juridique est claire lorsque l'application de la norme au cas concret s'impose de façon évidente au regard du texte légal ou sur la base d'une doctrine et d'une jurisprudence éprouvées (ATF 144 III 462 consid. 3.1 et les arrêts cités).</w:t>
      </w:r>
    </w:p>
    <w:p>
      <w:r>
        <w:t>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arrêt du Tribunal fédéral 4A_422/2020 du 2 novembre 2020 consid. 4.1).</w:t>
      </w:r>
    </w:p>
    <w:p>
      <w:r>
        <w:rPr>
          <w:b/>
        </w:rPr>
        <w:t>E. 3.1.2</w:t>
      </w:r>
    </w:p>
    <w:p>
      <w:r>
        <w:t>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3.1.3</w:t>
      </w:r>
    </w:p>
    <w:p>
      <w:r>
        <w:t>La possibilité d'opposer en compensation une contre-créance contestée existe aussi pour le locataire mis en demeure de payer un arriéré de loyer (art. 257d CO); la déclaration de compensation doit toutefois intervenir avant l'échéance du délai de grâce (ATF 119 II 241 consid. 6b/bb; arrêt du Tribunal fédéral 4C_212/2006 du 28 septembre 2006 consid. 3.1.1, in CdB 2007 22).</w:t>
      </w:r>
    </w:p>
    <w:p>
      <w:r>
        <w:t>La contre-créance invoquée en compensation doit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 Cette restriction se justifie d'autant plus que le locataire qui prétend avoir une créance en réduction de loyer ou en dommages-intérêts pour cause de défauts de l'objet loué n'est pas en droit de retenir tout ou partie du loyer échu; il n'a en principe que la possibilité de consigner le loyer, l'art. 259g CO étant une lex specialis par rapport à l'art. 82 CO. Il est donc dans son tort s'il retient le loyer (arrêts du Tribunal fédéral 4A_140/2014 et 4A_250/2014 du 6 août 2014</w:t>
      </w:r>
    </w:p>
    <w:p>
      <w:r>
        <w:t>- 10/11 -</w:t>
      </w:r>
    </w:p>
    <w:p>
      <w:r>
        <w:t>C/17548/2020 consid. 5.2). Le Tribunal fédéral a ainsi déjà exclu, dans deux arrêts, la possibilité pour un locataire d'opposer en compensation une créance fondée sur les défauts de la chose louée (arrêts du Tribunal fédéral 4A_140/2014 et 4A_250/2014 précités consid. 5; 4A_472/2008 du 26 janvier 2009 consid. 4.2.3 in RtiD 2009 II 681).</w:t>
      </w:r>
    </w:p>
    <w:p>
      <w:r>
        <w:rPr>
          <w:b/>
        </w:rPr>
        <w:t>E. 3.2</w:t>
      </w:r>
    </w:p>
    <w:p>
      <w:r>
        <w:t>En l'espèce, l'appelante affirme avoir réglé le loyer par compensation, en faisant valoir une créance que l'intimée conteste et qui relève de la réduction de loyer et des dommages-intérêts, pour laquelle la compensation ne peut pas être admise ou, à tout le moins, ne peut l'être que restrictivement, soit à la condition qu'elle puisse être prouvée sans délai, ce qui n'est pas le cas. En effet, tout d'abord, dans son courrier du 23 avril 2020, l'appelante a laissé le choix à l'intimée de lui remettre des locaux d'une surface de 150m2 ou de modifier le loyer. De plus, ce courrier est antérieur à la mise en demeure de la sous-bailleresse. Ensuite, dans son courrier du 24 juin 2020, l'appelante n'a pas exprimé de manière non équivoque sa décision d'invoquer la compensation, se contentant d'indiquer qu'elle ne pouvait payer pour une surface dont elle ne disposait pas et que l'intimée lui était redevable des loyers payés en trop depuis le début du bail. Ainsi, la prétendue créance de l'appelante en réduction de loyer, au demeurant non chiffrée et difficilement déterminable, n'a pas été prouvée sans délai. C'est donc à raison que le Tribunal a écarté l'objection de l'appelante.</w:t>
      </w:r>
    </w:p>
    <w:p>
      <w:r>
        <w:t>L'appelante ne conteste pour le surplus pas que les conditions de l'art. 257 al. 1 CPC sont réalisées.</w:t>
      </w:r>
    </w:p>
    <w:p>
      <w:r>
        <w:t>C'est dès lors à bon droit que les premiers juges ont retenu que les conditions du cas clair étaient réunies et ont fait droit aux conclusions de la requête.</w:t>
      </w:r>
    </w:p>
    <w:p>
      <w:r>
        <w:t>Le jugement sera par conséquent confirmé.</w:t>
      </w:r>
    </w:p>
    <w:p>
      <w:r>
        <w:rPr>
          <w:b/>
        </w:rPr>
        <w:t>E. 4</w:t>
      </w:r>
    </w:p>
    <w:p>
      <w:r>
        <w:t>A teneur de l'art. 22 al. 1 LaCC, il n'est pas prélevé de frais dans les causes soumises à la juridiction des baux et loyers (ATF 139 III 182 consid. 2.6). Il ne sera dès lors pas alloué de dépens. * * * * *</w:t>
      </w:r>
    </w:p>
    <w:p>
      <w:r>
        <w:t>- 11/11 -</w:t>
      </w:r>
    </w:p>
    <w:p>
      <w:r>
        <w:t>C/17548/2020</w:t>
      </w:r>
    </w:p>
    <w:p>
      <w:r>
        <w:t>PAR CES MOTIFS, La Chambre des baux et loyers :</w:t>
      </w:r>
    </w:p>
    <w:p>
      <w:r>
        <w:t>A la forme : Déclare recevable l'appel interjeté le 17 décembre 2020 par A______ SA contre le jugement JTBL/890/2020 rendu le 29 octobre 2020 par le Tribunal des baux et loyers dans la cause C/17548/2020-8-SE. Déclare irrecevable le recours interjeté le 17 décembre 2020 par A______ SA contre ledit jugement. Au fond : Confirme le jugement attaqué.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