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ACJC/347/2021 vom 22. März 2021</w:t>
      </w:r>
    </w:p>
    <w:p>
      <w:r>
        <w:t>GE Cour de justice, 2021-03-22, FR</w:t>
      </w:r>
    </w:p>
    <w:p>
      <w:r>
        <w:rPr>
          <w:b/>
        </w:rPr>
        <w:t xml:space="preserve">Quelle: </w:t>
      </w:r>
      <w:r>
        <w:t>https://mcp.opencaselaw.ch/entscheid/ge_gerichte_ACJC_347_2021</w:t>
      </w:r>
    </w:p>
    <w:p>
      <w:r>
        <w:t>FR: GE_GERICHTE ACJC/347/2021 du 22 mars 2021</w:t>
      </w:r>
    </w:p>
    <w:p>
      <w:r>
        <w:t>IT: GE_GERICHTE ACJC/347/2021 del 22 marzo 2021</w:t>
      </w:r>
    </w:p>
    <w:p>
      <w:pPr>
        <w:pStyle w:val="Heading2"/>
      </w:pPr>
      <w:r>
        <w:t>Erwägungen</w:t>
      </w:r>
    </w:p>
    <w:p>
      <w:r>
        <w:rPr>
          <w:b/>
        </w:rPr>
        <w:t>E. 7</w:t>
      </w:r>
    </w:p>
    <w:p>
      <w:r>
        <w:t>décembre 2016, 5 mai 2017 et 22 novembre 2019, la bailleresse précisant que ceux-ci ne valaient pas renonciation au congé du 13 janvier 2015.</w:t>
      </w:r>
    </w:p>
    <w:p>
      <w:r>
        <w:t>Par courrier recommandé du 24 février 2020, la bailleresse a mis la locataire en demeure de s'aquitter de la somme de 3'480 fr. d'ici au 29 février 2020, montant correspondant à l'indemnité pour occupation illicite des mois de novembre 2019 et février 2020. La locataire a procédé à plusieurs paiements de 1'830 fr. mais postérieurement à l'échéance fixée, restant devoir la somme de 1'830 fr. au 1er juillet 2020.</w:t>
      </w:r>
    </w:p>
    <w:p>
      <w:r>
        <w:t>e. Par requête en protection du cas clair du 1er juillet 2020, la bailleresse a introduit action en évacuation devant le Tribunal et a en outre sollicité l'exécution directe de l'évacuation de la locataire. Elle a également conclu au paiement de 1'830 fr. et à la libération de la garantie de loyer en sa faveur.</w:t>
      </w:r>
    </w:p>
    <w:p>
      <w:r>
        <w:t>f. Le 14 septembre 2020, la locataire s'est adressée au Tribunal par courrier, exposant qu'elle avait payé le loyer en retard et était désormais à jour. g. A l'audience du 15 septembre 2020, lors de laquelle la locataire n'était ni présente, ni représentée, la bailleresse a persisté dans ses conclusions, en précisant que l'arriéré s'élevait désormais à 2'679 fr. 55 et que le dernier versement avait été</w:t>
      </w:r>
    </w:p>
    <w:p>
      <w:r>
        <w:t>- 4/7 -</w:t>
      </w:r>
    </w:p>
    <w:p>
      <w:r>
        <w:t>C/12503/2020 effectué le 27 juillet 2020, en 1'830 fr. Elle a amplifié ses conclusions en paiement à hauteur de ce montant et a produit un décompte actualisé.</w:t>
      </w:r>
    </w:p>
    <w:p>
      <w:r>
        <w:t>La cause a été gardée à juger à l'issue de l'audience.</w:t>
      </w:r>
    </w:p>
    <w:p>
      <w:r>
        <w:t>h. Par jugement non motivé du 15 septembre 2020, notifié à la locataire le 23 septembre 2020, le Tribunal a notamment prononcé l'évacuation de A______ et autorisé B______ SA à requérir l'évacuation de celle-ci par la force publique dès l'entrée en force du jugement. i. Par courrier du 2 octobre 2020, la locataire a demandé la motivation du jugement et démontré avoir payé le même jour la somme de 2'679 fr. 55 à la bailleresse. EN DROIT 1. 1.1 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à la procédure de cas clair (art. 248 let. b CPC).</w:t>
      </w:r>
    </w:p>
    <w:p>
      <w:r>
        <w:t>Les contestations portant sur l'usage d'une chose louée sont de nature pécuniaire (arrêts du Tribunal fédéral 4A_388/2016 du 15 mars 2017 consid. 1; 4A_72/2007 du 22 août 2007 consid. 2).</w:t>
      </w:r>
    </w:p>
    <w:p>
      <w:r>
        <w:t>La valeur litigieuse est déterminée par les dernières conclusions de première instance (art. 91 al. 1 CPC; JEANDIN, Commentaire romand, Code de procédure civile, 2ème éd., 2019, n. 13 ad art. 308 CPC).</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t>1.2 En l'espèce, au vu du montant du loyer de 1'830 fr. par mois, la valeur litigieuse est supérieure à 10'000 fr., de sorte que la voie de l'appel est ouverte contre le prononcé de l'évacuation. 1.3 La voie du recours est ouverte contre la décision du Tribunal relative à l'exécution de l'évacuation.</w:t>
      </w:r>
    </w:p>
    <w:p>
      <w:r>
        <w:t>- 5/7 -</w:t>
      </w:r>
    </w:p>
    <w:p>
      <w:r>
        <w:t>C/12503/2020</w:t>
      </w:r>
    </w:p>
    <w:p>
      <w:r>
        <w:t>1.4 La motivation est une condition de recevabilité de l'appel (comme du recours, art. 321 al. 1 CPC), prévue par la loi, qui doit être examinée d'office (art. 311 al. 1 CPC). Il incombe à l'appelant de motiver son acte c'est-à-dire de démontrer le caractère erroné de la motivation attaquée. Pour satisfaire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Même si l'art. 311 CPC (respectivement 321 CPC) ne le mentionne pas, le mémoire d'appel doit contenir des conclusions. Celles-ci doivent être formulées de telle sorte qu'en cas d'admission de la demande, elles puissent être reprises dans le jugement sans modification. L'interdiction du formalisme excessif commande d'entrer exceptionnellement en matière sur un appel formellement dépourvu de conclusions, si ce que demande l'appelant résulte de sa motivation, cas échéant en relation avec le jugement attaqué (ATF 137 III 617 consid. 4 et 6.2). En l'espèce, l'appelante ne critique pas le jugement rendu et ne soutient pas qu'il serait erroné, se limitant à conclure à son annulation. S'agissant des mesures d'exécution, elle ne fait pas non plus valoir que les premiers juges auraient fait une mauvaise application de la loi. Son appel et son recours sont, partant, irrecevables. Eussent-ils été recevables, que tant l'appel que le recours seraient infondés, pour les motifs qui suivent. 2. 2.1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w:t>
      </w:r>
    </w:p>
    <w:p>
      <w:r>
        <w:t>- 6/7 -</w:t>
      </w:r>
    </w:p>
    <w:p>
      <w:r>
        <w:t>C/12503/2020 144 III 462 consid. 3; 142 III 515 consid. 2.2.4 in fine; 141 III 262 consid. 3.2 in fine).</w:t>
      </w:r>
    </w:p>
    <w:p>
      <w:r>
        <w:t>2.2 En l'espèce, l'intimée a établi par pièces que la résiliation était intervenue en respectant les conditions de l'art. 257d CO, de sorte que c'est à bon droit que les premiers juges ont retenu que les conditions du cas clair étaient réunies et ont prononcé l'évacuation de l'appelante. Le fait que celle-ci soit depuis lors à jour dans le paiement de son loyer n'y change rien. 3. 3.1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3.2 En l'espèce, les motifs qui ont conduit le Tribunal à ordonner l'exécution du jugement dès son entrée en force sont conformes aux considérants qui précèdent. Il sera en outre relevé que la recourante a régulièrement accumulé du retard dans le paiement de son loyer depuis de nombreuses années et que l'intimée s'est montrée compréhensive à son égard, acceptant plusieurs arrangements de paiement qui n'ont pas été respectés. 4. A teneur de l'art. 22 al. 1 LaCC, il n'est pas prélevé de frais dans les causes soumises à la juridiction des baux et loyers (ATF 139 III 182 consid. 2.6). * * * * *</w:t>
      </w:r>
    </w:p>
    <w:p>
      <w:r>
        <w:t>- 7/7 -</w:t>
      </w:r>
    </w:p>
    <w:p>
      <w:r>
        <w:t>C/12503/2020</w:t>
      </w:r>
    </w:p>
    <w:p>
      <w:r>
        <w:t>PAR CES MOTIFS, La Chambre des baux et loyers : Déclare irrecevables l'appel et le recours interjetés le 10 novembre 2020 par A______ contre le jugement JTBL/638/2020 rendu le 15 septembre 2020 par le Tribunal des baux et loyers dans la cause C/12503/2020-7-SE. Dit que la procédure est gratuite. Déboute les parties de toutes autres conclusions. Siégeant : Monsieur Ivo BUETTI, président; Madame Pauline ERARD et Madame Fabienne GEISINGER-MARIETHOZ, juges; Madame Laurence CRUCHON et Monsieur Stéphane PENET, juges assesseurs;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