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ACJC/347/2018 vom 6. Juli 2017</w:t>
      </w:r>
    </w:p>
    <w:p>
      <w:r>
        <w:t>GE Cour de justice, 2017-07-06, FR</w:t>
      </w:r>
    </w:p>
    <w:p>
      <w:r>
        <w:rPr>
          <w:b/>
        </w:rPr>
        <w:t xml:space="preserve">Quelle: </w:t>
      </w:r>
      <w:r>
        <w:t>https://mcp.opencaselaw.ch/entscheid/ge_gerichte_ACJC_347_2018</w:t>
      </w:r>
    </w:p>
    <w:p>
      <w:r>
        <w:t>FR: GE_GERICHTE ACJC/347/2018 du 6 juillet 2017</w:t>
      </w:r>
    </w:p>
    <w:p>
      <w:r>
        <w:t>IT: GE_GERICHTE ACJC/347/2018 del 6 luglio 2017</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comme en l'espèce, supérieure à 10'000 fr. (art. 308 al. 2 CPC). Contrairement à ce que soutient l'intimée, l'appelante formule des critiques à l'égard du jugement entrepris et ne se contente pas de substituer sa propre appréciation à celle du Tribunal, de sorte que, suffisamment motivé (ATF 138 III 374 consid. 4.3.1; REETZ/THEILER, Kommentar zur Schweizerischen Zivilprozess- ordnung, 2016, n. 12 et n. 38 ad art. 311 CPC) et formé par écrit dans un délai de trente jours à compter de la notification de la décision (art. 311 al. 1 CPC), l'appel est recevable (art. 130, 131, 145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w:t>
      </w:r>
    </w:p>
    <w:p>
      <w:r>
        <w:rPr>
          <w:b/>
        </w:rPr>
        <w:t>E. 2</w:t>
      </w:r>
    </w:p>
    <w:p>
      <w:r>
        <w:t>L'appelante reproche au premier juge d'avoir retenu que, lorsque des prétentions en libération de dette et en paiement étaient cumulées, la conciliation était obligatoire pour l'ensemble. Elle fait valoir que l'ensemble de ses prétentions reposent sur le contrat de cession du 19 mai 2014, que ses prétentions constituaient un moyen de libération pour s'opposer à la mainlevée prononcée, que, compte tenu du rapport de connexité indiscutable existant entre le contrat de cession et la demande en paiement, cette dernière devait suivre le sort de l'action en libération de dette, laquelle n'est pas soumise à la conciliation préalable et que retenir le contraire reviendrait à vider de sa substance l'art. 83 al. 2 LP et à suspendre, pendant la procédure de conciliation, le délai de 20 jours prévu par cette disposition.</w:t>
      </w:r>
    </w:p>
    <w:p>
      <w:r>
        <w:rPr>
          <w:b/>
        </w:rPr>
        <w:t>E. 2.1</w:t>
      </w:r>
    </w:p>
    <w:p>
      <w:r>
        <w:t>Le Tribunal examine d'office si la demande satisfait aux conditions de recevabilité de l'action (art. 59 al. 1 et 60 CPC).</w:t>
      </w:r>
    </w:p>
    <w:p>
      <w:r>
        <w:t>- 5/8 -</w:t>
      </w:r>
    </w:p>
    <w:p>
      <w:r>
        <w:t>C/21305/2016</w:t>
      </w:r>
    </w:p>
    <w:p>
      <w:r>
        <w:t>L'existence d'une autorisation de procéder valable, délivrée par l'autorité de conciliation, est une condition de recevabilité de la demande lorsque celle-ci doit avoir lieu (ATF 139 III 273 consid. 2.1).</w:t>
      </w:r>
    </w:p>
    <w:p>
      <w:r>
        <w:rPr>
          <w:b/>
        </w:rPr>
        <w:t>E. 2.2</w:t>
      </w:r>
    </w:p>
    <w:p>
      <w:r>
        <w:t>L'action en libération de dette prévue par l'art. 83 al. 2 LP n'est pas soumise à l'obligation d'une tentative préalable de conciliation (art. 198 let. e ch. 1 CPC).</w:t>
      </w:r>
    </w:p>
    <w:p>
      <w:r>
        <w:rPr>
          <w:b/>
        </w:rPr>
        <w:t>E. 2.3</w:t>
      </w:r>
    </w:p>
    <w:p>
      <w:r>
        <w:t>Selon une jurisprudence du Tribunal cantonal vaudois, lorsque les prétentions peuvent être cumulées (action en libération de dette et action en paiement), la conciliation est obligatoire pour le tout, quand bien même le demandeur a pris des conclusions en libération de dette pour lesquelles la conciliation préalable est en principe exclue. Cette autorité s'est ralliée à l'avis d'une partie de la doctrine (TAPPY/NOVIER, La procédure de conciliation et la médiation dans le Code de procédure civile suisse, Cours de formation Codex-OJV, p. 7; BOHNET, Code de procédure civile commenté, n. 20 ad art. 198 CPC), selon laquelle le droit de cumuler des conclusions (art. 90 CPC) ne saurait être restreint du fait que la conciliation n'est obligatoire que pour certaines conclusions, alors qu'elle est exclue pour d'autres. Ainsi, bien qu'en soi on puisse imaginer que le demandeur doit ouvrir action par requête de conciliation pour ses seules prétentions soumises à conciliation obligatoire et par demande adressée directement au juge du fond pour ses autres prétentions, on ne saurait imposer une telle dissociation. Dans ce cas, il convient de revenir à la règle selon laquelle, en principe, la procédure au fond doit être précédée d'une tentative de conciliation, celle-ci étant possible par attraction même pour les prétentions pour lesquelles elle serait en soi exclue (TC/VD CACI du 5 octobre 2011/287 consid. 4c, in JT 2012 III 12). Dans une jurisprudence ultérieure, le Tribunal cantonal vaudois a précisé que le fondement de la règle exprimée par la jurisprudence précitée est d'éviter que le demandeur soit tenté de cumuler des prétentions essentiellement pour éviter ce préalable. Il a retenu que la situation était néanmoins différente dans le cas d'un cumul d'actions en inscription définitive d'une hypothèque légale et en paiement, où le requérant exerçait formellement deux actions, mais où les parties étaient les mêmes et où, pour trancher de l'action en inscription définitive de l'hypothèque légale, il était nécessaire de statuer à titre préjudiciel sur la même créance - de montant unique - dont le paiement était par ailleurs requis, puisqu'il n'y avait dans ce cas aucun risque de cumul des prétentions pour éviter le préalable de la conciliation et que l'objectif de la conciliation préalable avait déjà été réalisé lors de l'audience de mesures provisionnelles (TC/VD CACI du 27 mars 2013/180 consid. 3d, in JT 2013 III 99). Selon le Tribunal fédéral, en cas de cumul entre une action en libération de dette et une action en paiement, la conciliation reste obligatoire pour cette seconde action, l'obligation de soumettre l'action en paiement à cette procédure préalable n'empêchant pas, par la suite, sa jonction avec l'action en libération de dette,</w:t>
      </w:r>
    </w:p>
    <w:p>
      <w:r>
        <w:t>- 6/8 -</w:t>
      </w:r>
    </w:p>
    <w:p>
      <w:r>
        <w:t>C/21305/2016 moyennant, cas échéant, suspension de cette dernière selon l'art. 126 CPC. Dans l'affaire tranchée, portant sur un litige relatif à un contrat d'entreprise, le Tribunal fédéral a rejeté le recours formé à l'encontre d'une décision de la Chambre civile du Tribunal d'appel tessinois confirmant un jugement déclarant irrecevable une demande cumulant une action en libération de dette et une demande en paiement à titre de réparation de défauts de l'ouvrage et de remboursement de prestations payées à tort, pour défaut de conciliation préalable (arrêt du Tribunal fédéral 4A_413/2012 du 14 janvier 2013 consid. 6, in SJ 2013 I 287). Le demandeur peut ainsi soit déposer une requête en conciliation préalable pour les deux actions, soit déposer une requête en conciliation pour l'action en paiement et une demande pour l'action en libération de dette, en demandant une suspension de cette dernière procédure, puis la jonction des deux procédures (COLOMBINI, note publiée in JT 2013 III 103 relative à la décision TC/VD CACI du 27 mars 2013/180 précitée).</w:t>
      </w:r>
    </w:p>
    <w:p>
      <w:r>
        <w:t>GROBETY propose, pour sa part, lorsque les prétentions cumulées se trouvent dans une relation de connexité telle que les traiter séparément alourdirait considérablement la procédure et impliquerait un risque de décisions contradictoires, d'admettre que les différents objets du litige sont si étroitement reliés entre eux qu'il se justifie de considérer l'objet du procès dans son ensemble. Il s'agirait donc, dans un premier temps, de déterminer si l'objet du procès comprend une prétention prépondérante. Si tel est le cas et que cette dernière est exclue de la conciliation, celle-ci serait exclue également pour les prétentions accessoires connexes, même si prises individuellement, elles seraient sujettes au préalable. Par exemple, si l'action en libération de dette concernait le paiement du prix d'un ouvrage et que celle prise en paiement concernait une indemnité liée à des défauts de ce même ouvrage, le tout devrait, selon lui, être exclu de la conciliation (Cumul d'action et conciliation en procédure civile suisse, in Jusletter du 13 avril 2015).</w:t>
      </w:r>
    </w:p>
    <w:p>
      <w:r>
        <w:rPr>
          <w:b/>
        </w:rPr>
        <w:t>E. 2.4</w:t>
      </w:r>
    </w:p>
    <w:p>
      <w:r>
        <w:t>En l'espèce, l'appelante a introduit une action en libération de dette tendant à ce qu'il soit constaté qu'elle ne doit pas le solde du prix de vente prévu par le contrat de cession du 19 mai 2014, qu'elle a cumulée avec une action en paiement de dommages-intérêts pour violation de la clause de non-concurrence contenue dans ce contrat et pour erreur essentielle lors de la conclusion de celui-ci. Tant l'action en libération de dette que l'action en paiement concernent les mêmes parties, sont issues du même complexe de faits et sont liées au contrat de cession conclu le 19 mai 2014 entre les parties. Cela étant, ces actions ne sont pas indissociables. A l'instar du Tribunal cantonal vaudois, il convient de retenir qu'en cas de cumul d'une action en libération de dette - non soumise à conciliation préalable - et d'une</w:t>
      </w:r>
    </w:p>
    <w:p>
      <w:r>
        <w:t>- 7/8 -</w:t>
      </w:r>
    </w:p>
    <w:p>
      <w:r>
        <w:t>C/21305/2016 action en paiement - soumise à ce préalable -, la conciliation est obligatoire pour le tout, afin d'éviter qu'un demandeur soit tenté de cumuler des prétentions essentiellement pour éviter ce préalable. Par conséquent, le jugement entrepris sera confirmé.</w:t>
      </w:r>
    </w:p>
    <w:p>
      <w:r>
        <w:rPr>
          <w:b/>
        </w:rPr>
        <w:t>E. 3</w:t>
      </w:r>
    </w:p>
    <w:p>
      <w:r>
        <w:t>Les frais judiciaires sont mis à la charge de la partie succombante (art. 95 et 106 al. 1 in initio CPC). Les frais judiciaires d'appel seront arrêtés à 500 fr. (art. 5, 17 et 35 RTFMC). Compte tenu de l'issue du litige, l'appelante, qui succombe, sera condamnée auxdits frais (art. 95, 104 al. 1, 105, 106 al. 1 in initio CPC).</w:t>
      </w:r>
    </w:p>
    <w:p>
      <w:r>
        <w:t>Dans la mesure où celle-ci plaide au bénéfice de l'assistance juridique, les frais judiciaires seront provisoirement supportés par l'Etat (art. 122 al. 1 let. b CPC), étant rappelé que le bénéficiaire de l'assistance juridique est tenu au remboursement des frais judiciaires mis à la charge de l'Etat dans la mesure de l'art. 123 CPC (art. 19 RAJ). L'appelante sera en outre condamnée aux dépens d'appel, arrêtés à 700 fr. TVA et débours compris, au regard de l'activité déployée par le conseil de l'intimée (art. 95, 104 al. 1, 105 al. 1 et 106 al. 1 et 3 CPC; art. 20, 25 et 26 al. 1 LaCC; art. 25 al. 1 LTVA; art. 84 RTFMC). * * * * *</w:t>
      </w:r>
    </w:p>
    <w:p>
      <w:r>
        <w:t>- 8/8 -</w:t>
      </w:r>
    </w:p>
    <w:p>
      <w:r>
        <w:t>C/21305/2016 PAR CES MOTIFS, La Chambre civile : A la forme : Déclare recevable l'appel interjeté le 8 septembre 2017 par A______ contre le jugement JTPI/8984/2017 rendu le 6 juillet 2017 par le Tribunal de première instance dans la cause C/21305/2016-20. Au fond : Confirme le jugement entrepris. Déboute les parties de toutes autres conclusions. Sur les frais : Arrête les frais judiciaires d'appel à 500 fr. et les met à la charge de A______. Dit que ces frais sont provisoirement supportés par l'Etat de Genève. Condamne A______ à verser à B______ la somme de 700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