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ACJC/345/2020 vom 6. November 2019</w:t>
      </w:r>
    </w:p>
    <w:p>
      <w:r>
        <w:t>GE Cour de justice, 2019-11-06, FR</w:t>
      </w:r>
    </w:p>
    <w:p>
      <w:r>
        <w:rPr>
          <w:b/>
        </w:rPr>
        <w:t xml:space="preserve">Quelle: </w:t>
      </w:r>
      <w:r>
        <w:t>https://mcp.opencaselaw.ch/entscheid/ge_gerichte_ACJC_345_2020</w:t>
      </w:r>
    </w:p>
    <w:p>
      <w:r>
        <w:t>FR: GE_GERICHTE ACJC/345/2020 du 6 novembre 2019</w:t>
      </w:r>
    </w:p>
    <w:p>
      <w:r>
        <w:t>IT: GE_GERICHTE ACJC/345/2020 del 6 novembre 2019</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w:t>
      </w:r>
    </w:p>
    <w:p>
      <w:r>
        <w:t>- 4/7 -</w:t>
      </w:r>
    </w:p>
    <w:p>
      <w:r>
        <w:t>C/12655/2019 Interjeté dans le délai prescrit et selon la forme requise, le recours est recevable.</w:t>
      </w:r>
    </w:p>
    <w:p>
      <w:r>
        <w:rPr>
          <w:b/>
        </w:rPr>
        <w:t>E. 1.3</w:t>
      </w:r>
    </w:p>
    <w:p>
      <w:r>
        <w:t>Les conclusions, allégations de faits et preuves nouvelles sont irrecevables (art. 326 al. 1 CPC). La Cour doit ainsi se placer dans la situation où se trouvait le premier juge lorsqu'il a rendu la décision attaquée, pour examiner si la loi a été violée. Il s'ensuit que les pièces nouvelles produites par la recourante devant la Cour, soit les factures dont le paiement est réclamé, sont irrecevables.</w:t>
      </w:r>
    </w:p>
    <w:p>
      <w:r>
        <w:rPr>
          <w:b/>
        </w:rPr>
        <w:t>E. 1.4</w:t>
      </w:r>
    </w:p>
    <w:p>
      <w:r>
        <w:t>Dans le cadre d'un recours, l'autorité a un plein pouvoir d'examen en droit, mais un pouvoir limité à l'arbitraire en fait (art. 320 CPC).</w:t>
      </w:r>
    </w:p>
    <w:p>
      <w:r>
        <w:rPr>
          <w:b/>
        </w:rPr>
        <w:t>E. 2</w:t>
      </w:r>
    </w:p>
    <w:p>
      <w:r>
        <w:t>La recourante soutient que les documents des 15 juin et 17 juin 2015, pris dans leur ensemble, constituent un contrat synallagmatique valant titre de mainlevée provisoire et invoque une violation des art. 3 al. 1 et 6 al. 1 CO.</w:t>
      </w:r>
    </w:p>
    <w:p>
      <w:r>
        <w:rPr>
          <w:b/>
        </w:rPr>
        <w:t>E. 2.1</w:t>
      </w:r>
    </w:p>
    <w:p>
      <w:r>
        <w:t>Selon l'art. 82 al. 1 LP, le créancier dont la poursuite se fonde sur une reconnaissance de dette constatée par acte authentique ou sous seing privé peut requérir la mainlevée provisoire.</w:t>
      </w:r>
    </w:p>
    <w:p>
      <w:r>
        <w:rPr>
          <w:b/>
        </w:rPr>
        <w:t>E. 2.1.1</w:t>
      </w:r>
    </w:p>
    <w:p>
      <w:r>
        <w:t>Constitue une reconnaissance de dette au sens de cette disposition, en particulier, l'acte sous seing privé, signé par le poursuivi - ou son représentant (ATF 132 III 140 consid. 4.1.1 et les arrêts cités) -, d'où ressort sa volonté de payer au poursuivant, sans réserve ni condition, une somme d'argent déterminée, ou aisément déterminable, et exigible (ATF 145 III 20 consid. 4.4.1; 139 III 297 consid. 2.3.1 et la jurisprudence mentionnée). Une reconnaissance de dette peut résulter d'un ensemble de pièces dans la mesure où il en ressort les éléments nécessaires; cela signifie que le document signé doit clairement faire référence ou renvoyer aux données qui mentionnent le montant de la dette ou permettent de la chiffrer (ATF 139 précité; 132 III 480 consid. 4.1). Des factures ne valent pas reconnaissance de dette et ce, même si elles ne sont pas contestées (arrêt du Tribunal fédéral 5P.290/2006 du 12 octobre 2006 consid. 3.2).</w:t>
      </w:r>
    </w:p>
    <w:p>
      <w:r>
        <w:rPr>
          <w:b/>
        </w:rPr>
        <w:t>E. 2.1.2</w:t>
      </w:r>
    </w:p>
    <w:p>
      <w:r>
        <w:t>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 ses moyens libératoires (ATF 132 III 140 consid. 4.1.1 et les références). Il doit notamment vérifier d'office l'existence d'une reconnaissance de dette, l'identité entre le poursuivant et le créancier désigné dans ce titre, l'identité entre le poursuivi et le débiteur désigné et l'identité entre la</w:t>
      </w:r>
    </w:p>
    <w:p>
      <w:r>
        <w:t>- 5/7 -</w:t>
      </w:r>
    </w:p>
    <w:p>
      <w:r>
        <w:t>C/12655/2019 prétention déduite en poursuite et la dette reconnue (ATF 142 III 720 consid. 4.1; 139 III 444 consid. 4.1.1 et les références).</w:t>
      </w:r>
    </w:p>
    <w:p>
      <w:r>
        <w:rPr>
          <w:b/>
        </w:rPr>
        <w:t>E. 2.2</w:t>
      </w:r>
    </w:p>
    <w:p>
      <w:r>
        <w:t>En l'espèce, la Convention collective pour la retraite anticipée dans la métallurgie du bâtiment (CCRAMB - RS/GE J 1 50.24) ou la Convention collective de travail pour les métiers techniques de la métallurgie du bâtiment dans le canton de Genève (CCT-MTMB - RS/GE J 1 50.26) s'applique à toutes les entreprises réalisant des installations électriques sur le canton de Genève (art. 1 et 2 des Conventions). Il doit donc être admis que l'intimée y est soumise, indépendant du fait de savoir si les "documents" de 15 et 17 juin 2015 constituent un contrat synallagmatique. Cela étant, en tant que tel, le seul fait que l'intimée soit soumise à la CCRAMB ou à la CCT-MTMB ne permet pas encore de retenir que la recourante détient à son encontre des créances dont les montants correspondent à ceux réclamés par voie de poursuite. En effet, les cotisations ou les frais d’exécution à la CCT correspondent à un pourcentage du salaire déterminant au sens de l’AVS (cf. art. 5 CCRAMB et Annexe V de la CCT-MTMB). Il est donc nécessaire, pour établir que la recourante dispose des créances faisant l'objet de la poursuite, de connaître le salaire des employés de l'intimée durant les périodes pour lesquelles le paiement des cotisations est réclamé. Or, la recourante n'a pas produit de titre à cet égard concernant les périodes visées par le commandement de payer, à savoir décembre 2017 à août 2018, mais uniquement, avec son courrier du 7 octobre 2019, des relevés pour les mois de septembre à décembre 2018. Il en ressort que les montant mensuels totaux varient chaque mois, de sorte qu'il ne peut être tiré d'enseignements de ces pièces pour les mois concernés par le commandement de payer. De plus, même si, contrairement à ce que l'intimée soutient et à ce qui figure dans la requête de mainlevée, elle avait produit devant le Tribunal les factures mentionnées dans le commandement de payer, celles-ci n'auraient, en tout état de cause, pas été suffisantes à elles seules pour que soit prononcée la mainlevée de l'opposition, en l'absence d'indication des salaires permettant de vérifier que le montant réclamé selon ces factures était dû. Dès lors, le jugement attaqué qui a considéré que les pièces produites, même prises dans leur ensemble, ne valaient pas titre de mainlevée ne viole pas le droit. Le recours est infondé et il sera, par conséquent, rejeté.</w:t>
      </w:r>
    </w:p>
    <w:p>
      <w:r>
        <w:rPr>
          <w:b/>
        </w:rPr>
        <w:t>E. 3</w:t>
      </w:r>
    </w:p>
    <w:p>
      <w:r>
        <w:t>La recourante, qui succombe, sera condamnée aux frais judicaires de recours (art. 106 al. 1 CPC), arrêtés à 600 fr. (art. 48 et 61 OELP), compensés avec l'avance qu'elle a fournie, qui reste acquise à l'Etat de Genève.</w:t>
      </w:r>
    </w:p>
    <w:p>
      <w:r>
        <w:t>- 6/7 -</w:t>
      </w:r>
    </w:p>
    <w:p>
      <w:r>
        <w:t>C/12655/2019</w:t>
      </w:r>
    </w:p>
    <w:p>
      <w:r>
        <w:t>Il ne sera pas alloué de dépens à l'intimé, qui comparait en personne et n'a pas répondu au recours. * * * * *</w:t>
      </w:r>
    </w:p>
    <w:p>
      <w:r>
        <w:t>- 7/7 -</w:t>
      </w:r>
    </w:p>
    <w:p>
      <w:r>
        <w:t>C/12655/2019 PAR CES MOTIFS, La Chambre civile : A la forme : Déclare recevable le recours interjeté par la CONFÉRENCE PARITAIRE PROFESSIONNELLE DE LA METALLURGIE DU BÂTIMENT contre le jugement JTPI/15535/2019 rendu le 6 novembre 2019 par le Tribunal de première instance dans la cause C/12655/2019-5 SML. Au fond : Rejette ce recours. Déboute les parties de toutes autres conclusions. Sur les frais : Arrête les frais judiciaires à 600 fr., les met à la charge de la CONFÉRENCE PARITAIRE PROFESSIONNELLE DE LA METALLURGIE DU BÂTIMENT et dit qu'ils sont compensés avec l'avance fournie, qui reste acquise à l'Etat de Genève. Dit qu'il n'est pas alloué de dépens.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