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ACJC/345/2016 vom 23. September 2015</w:t>
      </w:r>
    </w:p>
    <w:p>
      <w:r>
        <w:t>GE Cour de justice, 2015-09-23, FR</w:t>
      </w:r>
    </w:p>
    <w:p>
      <w:r>
        <w:rPr>
          <w:b/>
        </w:rPr>
        <w:t xml:space="preserve">Quelle: </w:t>
      </w:r>
      <w:r>
        <w:t>https://mcp.opencaselaw.ch/entscheid/ge_gerichte_ACJC_345_2016</w:t>
      </w:r>
    </w:p>
    <w:p>
      <w:r>
        <w:t>FR: GE_GERICHTE ACJC/345/2016 du 23 septembre 2015</w:t>
      </w:r>
    </w:p>
    <w:p>
      <w:r>
        <w:t>IT: GE_GERICHTE ACJC/345/2016 del 23 settembre 2015</w:t>
      </w:r>
    </w:p>
    <w:p>
      <w:pPr>
        <w:pStyle w:val="Heading2"/>
      </w:pPr>
      <w:r>
        <w:t>Erwägungen</w:t>
      </w:r>
    </w:p>
    <w:p>
      <w:r>
        <w:rPr>
          <w:b/>
        </w:rPr>
        <w:t>E. 1.1</w:t>
      </w:r>
    </w:p>
    <w:p>
      <w:r>
        <w:t>L'appel est recevable pour avoir été interjeté dans le délai utile de 10 jours et selon la forme prescrite par la loi (art. 130, 131 et 314 al. 1 CPC) à l'encontre d'une décision finale (art. 308 al. 1 let. a CPC), qui statue tant sur des prétentions qui ne revêtent pas de caractère patrimonial que sur des conclusions pécuniaires dont la valeur litigieuse est, compte tenu des montants réclamés (soit une contribution d'entretien de 800 fr. par mois), supérieure à 10'000 fr. (art. 91 ss et 308 al. 2 CPC).</w:t>
      </w:r>
    </w:p>
    <w:p>
      <w:r>
        <w:rPr>
          <w:b/>
        </w:rPr>
        <w:t>E. 1.2</w:t>
      </w:r>
    </w:p>
    <w:p>
      <w:r>
        <w:t>Il n'en va pas de même de la réponse de l'intimé (art. 312 CPC). Par courrier recommandé du 29 octobre 2015, distribué le lendemain dans la case postale de l'intimé, un délai de dix jours dès réception lui a été fixé pour répondre à l'appel. L'intimé n'a pas retiré ce courrier, de sorte que celui-ci est réputé lui avoir été notifié à l'expiration d'un délai de garde de sept jours (art. 138 al. 3 let. a CPC), soit le 5 novembre 2015. L'intimé devait en effet s'attendre à recevoir cette notification, ayant été avisé qu'un appel avait été formé par son épouse contre le jugement du 23 septembre 2015. Dans la mesure où l'intimé a déposé son écriture de réponse au greffe de la Cour de justice le 20 novembre 2015, dite réponse est tardive. Elle sera donc déclarée irrecevable.</w:t>
      </w:r>
    </w:p>
    <w:p>
      <w:r>
        <w:rPr>
          <w:b/>
        </w:rPr>
        <w:t>E. 2</w:t>
      </w:r>
    </w:p>
    <w:p>
      <w:r>
        <w:t>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 est limitée à la simple vraisemblance des faits et à un examen sommaire du droit (ATF 127 III 474 consid. 2b/bb = JdT 2002 I 352; arrêt du Tribunal fédéral 5A_12/2013 du 8 mars 2013 consid. 2.2; HOHL, Procédure civile, Tome II, 2ème éd., 2010, n. 1901). En ce qui concerne les enfants mineurs des parties, les maximes d'office et inquisitoire illimitée sont applicables (art. 296 CPC), de sorte que la Cour n'est pas liée par les conclusions des parties à cet égard (art. 296 al. 3 CPC) et a le</w:t>
      </w:r>
    </w:p>
    <w:p>
      <w:r>
        <w:t>- 8/13 -</w:t>
      </w:r>
    </w:p>
    <w:p>
      <w:r>
        <w:t>C/22480/2014 devoir d'éclaircir les faits et de prendre en considération d'office tous les éléments qui peuvent être importants pour rendre une décision conforme à l'intérêt des enfants (ATF 128 III 411 consid. 3.1; 122 II 404 consid. 3b).</w:t>
      </w:r>
    </w:p>
    <w:p>
      <w:r>
        <w:rPr>
          <w:b/>
        </w:rPr>
        <w:t>E. 3</w:t>
      </w:r>
    </w:p>
    <w:p>
      <w:r>
        <w:t>L'appelante a produit des pièces nouvelles devant la Cour.</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 (ACJC/976/2014 du 15 août 2014 consid. 1.3; ACJC/963/2014 du 6 août 2014 consid. 3.1; dans ce sens : TREZZINI, in Commentario al Codice di diritto processuale civile Svizzero (CPC), COCCHI/ TREZZINI/BERNASCONI [édit.], 2011, p. 1394; TAPPY, Les voies de droit du nouveau Code de procédure civile, in JdT 2010 III p. 115 ss, 139).</w:t>
      </w:r>
    </w:p>
    <w:p>
      <w:r>
        <w:rPr>
          <w:b/>
        </w:rPr>
        <w:t>E. 3.2</w:t>
      </w:r>
    </w:p>
    <w:p>
      <w:r>
        <w:t>Dans la mesure où les pièces produites par l'appelante concernent l'enfant mineure des parties, elles sont recevables.</w:t>
      </w:r>
    </w:p>
    <w:p>
      <w:r>
        <w:rPr>
          <w:b/>
        </w:rPr>
        <w:t>E. 4</w:t>
      </w:r>
    </w:p>
    <w:p>
      <w:r>
        <w:t>L'appelante fait essentiellement grief au Tribunal d'avoir accordé la garde de l'enfant C______ à l'intimé plutôt qu'à elle-même.</w:t>
      </w:r>
    </w:p>
    <w:p>
      <w:r>
        <w:rPr>
          <w:b/>
        </w:rPr>
        <w:t>E. 4.1</w:t>
      </w:r>
    </w:p>
    <w:p>
      <w:r>
        <w:t>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w:t>
      </w:r>
    </w:p>
    <w:p>
      <w:r>
        <w:t>- 9/13 -</w:t>
      </w:r>
    </w:p>
    <w:p>
      <w:r>
        <w:t>C/22480/2014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Selon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Pour apprécier les critères fixant le droit de garde et celui aux relations personnelles, le juge dispose d'un large pouvoir d'appréciation (arrêts du Tribunal fédéral 5A_825/2013 du 28 mars 2014 consid. 4.3.1; 5A_319/2013 du 17 octobre 2013 consid. 2.1, publié in FamPra.ch 2014 p. 177; ATF 132 III 97 consid. 1).</w:t>
      </w:r>
    </w:p>
    <w:p>
      <w:r>
        <w:rPr>
          <w:b/>
        </w:rPr>
        <w:t>E. 4.2</w:t>
      </w:r>
    </w:p>
    <w:p>
      <w:r>
        <w:t>En l'espèce, l'appelante allègue que d'autres éléments auraient dû être pris en considération par le Tribunal, qui auraient dû amener celui-ci à considérer qu'il était dans l'intérêt de l'enfant de lui confier sa garde. Ainsi, c'était elle qui avait assumé, de manière générale, la plus grande prise en charge de l'enfant depuis sa naissance et la répartition avait été égale entre les parents depuis octobre 2014. En outre, comme elle n'exerce pas d'activité lucrative, l'appelante fait valoir qu'elle dispose d'une plus grande disponibilité que l'intimé; elle est donc en mesure de passer beaucoup de temps avec l'enfant cette année, tandis qu'en restant avec son père, celle-ci fréquentera la crèche cinq jours sur sept. L'appelante allègue que même si elle a l'intention de chercher un travail alimentaire avant de pouvoir recommencer son apprentissage en septembre 2016, elle placera sa fille en crèche au maximum deux jours par semaine, ce qui représente une grande différence par rapport à la prise en charge offerte par l'intimé. Elle ajoute par ailleurs que sa stabilité ne serait pas si récente, puisqu'elle vit une union stable avec son compagnon depuis l'été 2014. En outre, elle est également titulaire du bail de l'appartement dans lequel ils ont emménagé le 1er décembre 2015, ce qui représente, selon elle, une garantie de stabilité. Le lien de C______</w:t>
      </w:r>
    </w:p>
    <w:p>
      <w:r>
        <w:t>- 10/13 -</w:t>
      </w:r>
    </w:p>
    <w:p>
      <w:r>
        <w:t>C/22480/2014 avec la fille de son compagnon, âgée de cinq ans, devrait être privilégié, puisque le fils de l'intimé, âgé de sept ans, est l'aîné de C______ de plusieurs années, si bien que le lien serait différent. Enfin, l'appelante allègue que ses projets professionnels sont "solides", puisque la société E______ est disposée à l'engager, pour autant qu'elle puisse s'organiser sur le plan privé. Selon l'appelante, le fait qu'elle ne dispose pas de ressources financières n'est pas une raison suffisante pour ne pas lui attribuer la garde de sa fille, puisque l'intimé peut contribuer à l'entretien de l'enfant par le versement d'une contribution pécuniaire. L'appelante considère que l'ensemble de ces motifs doit amener la Cour à lui attribuer la garde de C______. Certes, l'appelante s'est davantage occupée de C______ que l'intimé pendant la première année et demie de celle-ci, puisque ce dernier pourvoyait à l'entretien de la famille par son travail tandis que l'appelante était femme au foyer. Cependant, cet élément n'est pas déterminant in casu, dans la mesure où l'enfant vit de manière prépondérante auprès de son père depuis la séparation des parties au mois de mai 2014, soit depuis plus de vingt mois, quand bien même celles-ci ont pratiqué une garde alternée d'une semaine sur deux pendant quelques mois. Il est vrai que l'appelante dispose actuellement d'une plus grande disponibilité que l'intimé pour s'occuper personnellement de l'enfant, ce qui est un élément important. Il ne s'agit toutefois pas d'un critère prépondérant pour lui confier la garde de l'enfant, d'autres critères non moins importants devant être pris en compte. A cet égard, il faut prendre en considération que depuis la séparation des parties, l'intimé est le principal facteur de stabilité dans la vie de C______. Il a su lui organiser un cadre de vie adapté à ses besoins, a fait en sorte que C______ entretienne des contacts réguliers et prolongés avec sa mère et a pourvu à la quasi- totalité de son entretien. Il importe de maintenir cette stabilité dans l'intérêt de l'enfant, laquelle ne doit pas voir son quotidien et son rythme de vie transformés radicalement, alors même qu'elle y est bien adaptée. Cela vaut d'autant plus que C______ est âgée de trois ans; compte tenu de son jeune âge, un changement radical de cadre de vie lui serait certainement préjudiciable. Quant au lien que C______ peut avoir avec la fille du compagnon actuel de l'appelante, la Cour ne voit pas pourquoi il devrait être privilégié par rapport à celui qu'elle entretient avec son demi-frère D______, une différence d'âge de quatre ans n'étant certainement pas un obstacle à l'attachement dans une fratrie. A ces motifs s'ajoute le fait que, nonobstant ses allégations, la situation personnelle de l'appelante ne s'est pas foncièrement améliorée depuis le jugement querellé. Elle admet être sans ressources financières, ce qui signifie que son compagnon actuel subvient toujours à l'intégralité de ses besoins, y compris au loyer de leur nouveau domicile. De plus, elle n'a allégué ou produit aucun élément concret à l'appui de ses projets de recherche d'emploi à temps partiel ou de reprise de son apprentissage. Elle ne démontre pas non plus qu'elle aurait obtenu les deux</w:t>
      </w:r>
    </w:p>
    <w:p>
      <w:r>
        <w:t>- 11/13 -</w:t>
      </w:r>
    </w:p>
    <w:p>
      <w:r>
        <w:t>C/22480/2014 jours de crèche demandés, qui devraient lui permettre de réaliser ses projets professionnels, ainsi que de sociabiliser C______ si elle en obtenait la garde. Dans ces circonstances, il demeure vrai que l'intimé est plus à même que l'appelante d'apporter à leur fille C______ la stabilité et la sécurité dont elle a besoin. Il résulte de ce qui précède que l'attribution de la garde de l'enfant en faveur de l'intimé sera maintenue. Quant au large droit de visite réservé à l'appelante, il sera maintenu à l'identique, puisque les modalités fixées par le Tribunal paraissent dans l'intérêt de l'enfant et ne sont pas remises en cause par les parties. Partant, le jugement entrepris sera confirmé.</w:t>
      </w:r>
    </w:p>
    <w:p>
      <w:r>
        <w:rPr>
          <w:b/>
        </w:rPr>
        <w:t>E. 5</w:t>
      </w:r>
    </w:p>
    <w:p>
      <w:r>
        <w:t>L'appelante a conclu au versement en ses mains d'une contribution de 800 fr. par mois pour l'entretien de l'enfant. Dans la mesure où la garde est maintenue en faveur de l'intimé (cf. supra consid. 4.2), l'appelante sera déboutée de sa conclusion tendant à la condamnation de celui-ci à lui verser une contribution à l'entretien de l'enfant. Comme l'appelante ne réalise aucun revenu, elle n'est pas en mesure de contribuer à l'entretien de l'enfant par le versement d'une somme d'argent mensuelle en mains de l'intimé. Sa contribution à l'entretien de C______ consistera donc en les soins, l'éducation et les autres prestations qu'elle pourra lui offrir pendant l'exercice de son droit de visite. Ainsi, sur ce point également le jugement sera confirmé (cf. dispositif ch. 4).</w:t>
      </w:r>
    </w:p>
    <w:p>
      <w:r>
        <w:rPr>
          <w:b/>
        </w:rPr>
        <w:t>E. 6</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judiciaires d'appel seront arrêtés à 1'250 fr. (art. 35 et 31 du Règlement fixant le tarif des frais en matière civile [RTFMC] - RS/GE E 1 05.10) et mis à la charge des parties par moitié chacune, pour des motifs d'équité liés à la nature du litige (art. 107 al. 1 let. c CPC). L'appelante plaidant au bénéfice de l'assistance judiciaire, elle a été dispensée de l'avance des frais; sa part aux frais judiciaires d'appel, d'un montant de 625 fr., sera provisoirement laissée à la charge de l'Etat (art. 122 al. 1 let. b et 123 CPC; art. 19 du Règlement sur l'assistance juridique [RAJ] - RS/GE E 2 05.04).</w:t>
      </w:r>
    </w:p>
    <w:p>
      <w:r>
        <w:t>- 12/13 -</w:t>
      </w:r>
    </w:p>
    <w:p>
      <w:r>
        <w:t>C/22480/2014 Quant à l'intimé, il sera condamné à verser à l'Etat de Genève, soit pour lui les Services financiers du Pouvoir judiciaire, la somme de 625 fr. à titre de frais judiciaires d'appel. Chacune des parties conservera ses dépens à sa charge (art. 107 al. 1 let. c CPC).</w:t>
      </w:r>
    </w:p>
    <w:p>
      <w:r>
        <w:rPr>
          <w:b/>
        </w:rPr>
        <w:t>E. 7</w:t>
      </w:r>
    </w:p>
    <w:p>
      <w:r>
        <w:t>S'agissant de mesures protectrices de l'union conjugale prononcées pour une durée indéterminée, la valeur litigieuse est supérieure au seuil de 30'000 fr.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- 13/13 -</w:t>
      </w:r>
    </w:p>
    <w:p>
      <w:r>
        <w:t>C/22480/2014 PAR CES MOTIFS, La Chambre civile : A la forme : Déclare recevable l'appel interjeté par A______ contre le jugement JTPI/11013/2015 rendu le 23 septembre 2015 par le Tribunal de première instance dans la cause C/22480/2014-16. Au fond : Confirme le jugement entrepris. Déboute les parties de toutes autres conclusions. Sur les frais : Arrête les frais judiciaires d'appel à 1'250 fr. et les met à la charge des parties par moitié chacune. Laisse provisoirement à la charge de l'Etat la somme de 625 fr. due par A______ à titre de frais judiciaires d'appel. Condamne B______ à verser à l'Etat de Genève, soit pour lui les Services financiers du Pouvoir judicaire, la somme de 625 fr. à titre de frais judiciaires d'appel.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