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ACJC/344/2024 vom 10. Oktober 2023</w:t>
      </w:r>
    </w:p>
    <w:p>
      <w:r>
        <w:t>GE Cour de justice, 2023-10-10, FR</w:t>
      </w:r>
    </w:p>
    <w:p>
      <w:r>
        <w:rPr>
          <w:b/>
        </w:rPr>
        <w:t xml:space="preserve">Quelle: </w:t>
      </w:r>
      <w:r>
        <w:t>https://mcp.opencaselaw.ch/entscheid/ge_gerichte_ACJC_344_2024</w:t>
      </w:r>
    </w:p>
    <w:p>
      <w:r>
        <w:t>FR: GE_GERICHTE ACJC/344/2024 du 10 octobre 2023</w:t>
      </w:r>
    </w:p>
    <w:p>
      <w:r>
        <w:t>IT: GE_GERICHTE ACJC/344/2024 del 10 ottobre 2023</w:t>
      </w:r>
    </w:p>
    <w:p>
      <w:pPr>
        <w:pStyle w:val="Heading2"/>
      </w:pPr>
      <w:r>
        <w:t>Erwägungen</w:t>
      </w:r>
    </w:p>
    <w:p>
      <w:r>
        <w:rPr>
          <w:b/>
        </w:rPr>
        <w:t>E. 1</w:t>
      </w:r>
    </w:p>
    <w:p>
      <w:r>
        <w:t>1.1.1 L'appel étant irrecevable dans les affaires relevant de la compétence du tribunal de la mainlevée selon la LP (art. 309 let. b ch. 3 CPC), seule la voie du recours est ouverte (art. 319 let. a CPC). La décision sur les frais ne peut être attaquée séparément que par un recours (art. 110 CPC). Le recours, écrit et motivé, est introduit auprès de l'instance de recours dans les dix jours (pour les décisions prises en procédure sommaire) à compter de la notification de la décision motivée (art. 321 al. 1 et 2 CPC). 1.1.2 En l'espèce, le recours déposé contre le jugement rendu par le Tribunal le 10 octobre 2023, dans le délai et la forme prescrits par la loi est recevable. Le courrier de la recourante du 5 janvier 2024 sera considéré comme un recours contre le jugement rectifié par le Tribunal le 3 janvier 2024, soit contre le chiffre 4 de ladite décision. Il est également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- 4/10 -</w:t>
      </w:r>
    </w:p>
    <w:p>
      <w:r>
        <w:t>C/13453/2023 motivés par la partie recourante (HOHL, Procédure civile, Tome II, 2ème éd., 2010, n. 2307). 1.3.1 Les conclusions, allégations de fait et preuves nouvelles sont irrecevables dans le cadre d'un recours (art. 326 al. 1 CPC).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(arrêt du Tribunal fédéral 5A_252/2021 du 8 novembre 2021 consid. 2.3; ATF 143 II 222 consid. 5.1). 1.3.2 En l'espèce, le jugement JTPI/11597/2023 rectifié par le Tribunal le</w:t>
      </w:r>
    </w:p>
    <w:p>
      <w:r>
        <w:rPr>
          <w:b/>
        </w:rPr>
        <w:t>E. 3</w:t>
      </w:r>
    </w:p>
    <w:p>
      <w:r>
        <w:t>Le Tribunal n'a pas, dans son jugement du 10 octobre 2023, statué sur les conclusions de la recourante en allocation de dépens. La recourante a conclu à la condamnation de l'intimé à lui verser 2'612 fr. à titre de dépens de première instance. 3.1.1 Conformément à l'art. 105 al. 2 CPC, le tribunal fixe les dépens selon le tarif, les parties pouvant produire une note de frais. Les dépens sont une indemnité de procédure mise à la charge d'un plaideur en faveur de l'autre pour le dédommager des dépenses ou du manque à gagner occasionné par le procès (arrêt du Tribunal fédéral 5A_888/2018 du 25 mars 2019 consid. 3.1.1). Ils comprennent les débours nécessaires et le défraiement d'un représentant professionnel (art. 95 al. 3 CPC). L'art. 96 CPC, auquel renvoie l'art. 105 al. 2 CPC, dispose que les cantons fixent le tarif des frais. Le canton de Genève a ainsi adopté le règlement du 22 décembre 2010 fixant le tarif des frais en matière civile (RTFMC; RSG E 1 05.10), fondé sur les art. 19 à 26 de la loi du 11 octobre 2012 d'application du code civil suisse et d'autres lois fédérales en matière civile (LaCC; RSG E 1 05).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Le juge fixe les dépens d'après le dossier, en chiffres ronds, incluant la taxe sur la valeur ajoutée (art. 26 al. 1 LaCC). Les débours nécessaires sont estimés, sauf éléments contraires, à 3% du défraiement et s'ajoutent à celui-ci (art. 25 LaCC). La décision est motivée (art. 26 al. 1 LaCC). En application de l'art. 85 al. 1 RTFMC, pour une valeur litigieuse comprise entre 80'000 fr. et 160'000 fr., le défraiement est de 9'700 fr. plus 6% de la valeur litigieuse dépassant 80'000 fr. Pour les procédures sommaires, le défraiement est dans la règle réduit d'un à deux tiers et au plus à un cinquième du tarif de l'art. 85 RTFMC (art. 88 RTFMC). Il en va de même pour les affaires judiciaires relevant de la LP (art. 89 RTFMC).</w:t>
      </w:r>
    </w:p>
    <w:p>
      <w:r>
        <w:t>- 7/10 -</w:t>
      </w:r>
    </w:p>
    <w:p>
      <w:r>
        <w:t>C/13453/2023 3.1.2 A Genève, le montant des honoraires des avocats ne fait l'objet d'aucun tarif officiel, de telle sorte qu'il y a lieu de se référer au tarif usuel. Les montants admis à ce titre sont de 450 fr. pour l'avocat chef d'étude et de 350 fr. pour l'avocat collaborateur (arrêt du Tribunal fédéral 6B_1360/2016 du 10 novembre 2017 consid. 6.2). 3.1.3 Les dépens ne sont pas alloués d'office, mais seulement sur requête (ATF 139 III 334 consid. 4.2). Il suffit que de prendre des conclusions concernant le fond "avec suite de frais et dépens" pour que des dépens puissent être alloués sans que des prétentions chiffrées soient nécessaires (ATF 140 III 444 consid. 3.2.2). Cela résulte de la possibilité accordée par l'art. 105 al. 2 CPC aux parties - sans qu'elles en aient l'obligation - de déposer jusqu'à la clôture des débats une note de frais, ce qui implique, d'une part, la possibilité de chiffrer à ce stade seulement les prétentions en dépens et, d'autre part, celle de laisser simplement le tribunal les fixer selon son appréciation (TAPPY, CR CPC, 2ème éd. 2019, n. 8 ad art. 105 CPC et les références citées).</w:t>
      </w:r>
    </w:p>
    <w:p>
      <w:r>
        <w:rPr>
          <w:b/>
        </w:rPr>
        <w:t>E. 3.2</w:t>
      </w:r>
    </w:p>
    <w:p>
      <w:r>
        <w:t>En l'espèce, et dès lors que la recourante a obtenu gain de cause, qu'elle a été représentée par avocat et qu'elle a conclu en ce sens, elle pouvait prétendre à des dépens de première instance. Au regard de la valeur litigieuse de 100'701 fr. 35, le défraiement - qui s'élève à 10'942 fr. 08 (9'700 fr. + ([6% de 20'701 fr. 35, soit 1'242 fr. 08]) - doit être fixé dans un fourchette comprise entre 2'188 fr. 41 (1/5 de 10'942 fr. 08) et 7'294 fr. 72 (2/3 de 10'942 fr. 08). Il convient de tenir compte de l'ampleur et des difficultés de la cause, très relatives en l'espèce compte tenu du fait qu'il s'agit d'une requête de mainlevée provisoire fondée sur un acte de défaut de biens, et du travail effectué par le conseil de la recourante. Cette activité a consisté à rédiger une requête de six pages, à établir un bordereau de neuf pièces et à représenter la recourante à l'audience du Tribunal. En l'absence de note d'honoraires produite par la recourante et d'indication quant à la durée de l'audience, l'activité de son conseil peut être estimée à environ deux heures de travail. En prenant en compte le tarif horaire usuel de 450 fr., plus débours et TVA, les dépens seront fixés à 1'000 fr. Le recours se révèle ainsi fondé.</w:t>
      </w:r>
    </w:p>
    <w:p>
      <w:r>
        <w:rPr>
          <w:b/>
        </w:rPr>
        <w:t>E. 3.3</w:t>
      </w:r>
    </w:p>
    <w:p>
      <w:r>
        <w:t>La cause étant en état d'être jugée, s'agissant d'une question de droit, il sera statué à nouveau sur ce point (art. 327 al. 3 let. b CPC). Les dépens seront fixés à 1'000 fr., débours et TVA inclus et l'intimé sera condamné à verser ce montant à la recourante.</w:t>
      </w:r>
    </w:p>
    <w:p>
      <w:r>
        <w:rPr>
          <w:b/>
        </w:rPr>
        <w:t>E. 4</w:t>
      </w:r>
    </w:p>
    <w:p>
      <w:r>
        <w:t>Les frais de recours, arrêtés à 300 fr., seront mis à la charge de l'intimé qui succombe (art. 106 al. 1 CPC). Il sera par conséquent condamné à verser ce</w:t>
      </w:r>
    </w:p>
    <w:p>
      <w:r>
        <w:t>- 8/10 -</w:t>
      </w:r>
    </w:p>
    <w:p>
      <w:r>
        <w:t>C/13453/2023 montant à l'Etat de Genève, soit pour lui les Services financiers du Pouvoir judiciaire. Il sera en outre condamné à verser à la recourante la somme de 500 fr. à titre de dépens de recours. * * * * *</w:t>
      </w:r>
    </w:p>
    <w:p>
      <w:r>
        <w:t>- 9/10 -</w:t>
      </w:r>
    </w:p>
    <w:p>
      <w:r>
        <w:t>C/13453/2023 PAR CES MOTIFS, La Chambre civile : A la forme : Déclare recevables les recours interjetés le 30 octobre 2023 par A______ contre le jugement JTPI/11597/2023 rendu le 10 octobre 2023 et le 5 janvier 2024 contre la rectification dudit jugement JTPI/11597/2023 du 3 janvier 2024 par le Tribunal de première instance dans la cause C/13453/2023-7 SML. Au fond : Annule la rectification du jugement JTPI/11597/2023 du 3 janvier 2024. Complète le jugement JTPI/11597/2023 rendu le 30 octobre 2023 comme suit : Arrête les dépens de première instance à 1'000 fr. Condamne C______ à verser 1'000 fr. à A______. Déboute les parties de toutes autres conclusions de recours. Sur les frais : Arrête les frais judiciaires du recours à 300 fr. et les met à la charge de C______. Condamne C______ à verser 300 fr. à ce titre aux Services financiers du Pouvoir judiciaire. Condamne C______ à verser 500 fr. à A______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- 10/10 -</w:t>
      </w:r>
    </w:p>
    <w:p>
      <w:r>
        <w:t>C/13453/2023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