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ACJC/344/2023 vom 13. März 2023</w:t>
      </w:r>
    </w:p>
    <w:p>
      <w:r>
        <w:t>GE Cour de justice, 2023-03-13, FR</w:t>
      </w:r>
    </w:p>
    <w:p>
      <w:r>
        <w:rPr>
          <w:b/>
        </w:rPr>
        <w:t xml:space="preserve">Quelle: </w:t>
      </w:r>
      <w:r>
        <w:t>https://mcp.opencaselaw.ch/entscheid/ge_gerichte_ACJC_344_2023</w:t>
      </w:r>
    </w:p>
    <w:p>
      <w:r>
        <w:t>FR: GE_GERICHTE ACJC/344/2023 du 13 mars 2023</w:t>
      </w:r>
    </w:p>
    <w:p>
      <w:r>
        <w:t>IT: GE_GERICHTE ACJC/344/2023 del 13 marzo 2023</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compte la durée prévisible pendant laquelle l'usage de l'objet se prolongerait si le congé était éventuellement invalidé, soit la période de protection de trois ans de l'art. 271a al. 1 let. e CO (ATF 144 III 346 consid. 1.2.1 et 1.2.2.3 – JdT 2019 II 235 pp. 236 et 239).</w:t>
      </w:r>
    </w:p>
    <w:p>
      <w:r>
        <w:rPr>
          <w:b/>
        </w:rPr>
        <w:t>E. 1.2</w:t>
      </w:r>
    </w:p>
    <w:p>
      <w:r>
        <w:t>En l'espèce, l'appelant remet en cause la validité du congé. Eu égard au montant du loyer, la valeur litigieuse est supérieure à 10'000 fr., de sorte que la voie de l'appel est ouverte contre le prononcé de l'évacuation.</w:t>
      </w:r>
    </w:p>
    <w:p>
      <w:r>
        <w:rPr>
          <w:b/>
        </w:rPr>
        <w:t>E. 1.3</w:t>
      </w:r>
    </w:p>
    <w:p>
      <w:r>
        <w:t>L'appel a été interjeté dans le délai et suivant la forme prescrits par la loi (art. 130, 131, 311 al. 1 CPC). Il est ainsi recevable. L'argument de l'intimée relatif à une alléguée perte de la qualité de locataire de l'appelant ne sera pas recevable, dès lors qu'il se fonde sur des faits et pièces nouvelles, irrecevables (cf. infra 2.2).</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- 6/10 -</w:t>
      </w:r>
    </w:p>
    <w:p>
      <w:r>
        <w:t>C/18785/2022</w:t>
      </w:r>
    </w:p>
    <w:p>
      <w:r>
        <w:rPr>
          <w:b/>
        </w:rPr>
        <w:t>E. 1.5</w:t>
      </w:r>
    </w:p>
    <w:p>
      <w:r>
        <w:t>Seule la voie du recours est ouverte contre les décisions du Tribunal de l'exécution (art. 309 let. a et 319 let. a CPC). Le recours contre les mesures d'exécution est ainsi recevable. Le recours est recevable pour violation du droit et constatation manifestement inexacte des faits (art. 320 CPC).</w:t>
      </w:r>
    </w:p>
    <w:p>
      <w:r>
        <w:rPr>
          <w:b/>
        </w:rPr>
        <w:t>E. 1.6</w:t>
      </w:r>
    </w:p>
    <w:p>
      <w:r>
        <w:t>L'appel et le recours seront traités dans le présent arrêt (art. 125 CPC).</w:t>
      </w:r>
    </w:p>
    <w:p>
      <w:r>
        <w:rPr>
          <w:b/>
        </w:rPr>
        <w:t>E. 2</w:t>
      </w:r>
    </w:p>
    <w:p>
      <w:r>
        <w:t>L'intimée a fait valoir de nouveaux faits et a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rPr>
          <w:b/>
        </w:rPr>
        <w:t>E. 2.2</w:t>
      </w:r>
    </w:p>
    <w:p>
      <w:r>
        <w:t>Ainsi, les pièces nouvelles ne sont pas recevables. Elles ne sont en tout état pas pertinentes pour l'issue du litige.</w:t>
      </w:r>
    </w:p>
    <w:p>
      <w:r>
        <w:rPr>
          <w:b/>
        </w:rPr>
        <w:t>E. 3</w:t>
      </w:r>
    </w:p>
    <w:p>
      <w:r>
        <w:t>L'appelant fait grief au Tribunal d'avoir considéré que le cas était clair. Il reproche également aux premiers juges d'avoir constaté les faits de manière inexacte.</w:t>
      </w:r>
    </w:p>
    <w:p>
      <w:r>
        <w:rPr>
          <w:b/>
        </w:rPr>
        <w:t>E. 3.1.1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w:t>
      </w:r>
    </w:p>
    <w:p>
      <w:r>
        <w:t>- 7/10 -</w:t>
      </w:r>
    </w:p>
    <w:p>
      <w:r>
        <w:t>C/18785/2022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w:t>
      </w:r>
    </w:p>
    <w:p>
      <w:r>
        <w:rPr>
          <w:b/>
        </w:rPr>
        <w:t>E. 3.1.2</w:t>
      </w:r>
    </w:p>
    <w:p>
      <w:r>
        <w:t>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w:t>
      </w:r>
    </w:p>
    <w:p>
      <w:r>
        <w:t>- 8/10 -</w:t>
      </w:r>
    </w:p>
    <w:p>
      <w:r>
        <w:t>C/18785/2022 d'habitations ou de locaux commerciaux peuvent être résiliés avec un délai de congé minimum de trente jours pour la fin d'un mois (al. 2).</w:t>
      </w:r>
    </w:p>
    <w:p>
      <w:r>
        <w:rPr>
          <w:b/>
        </w:rPr>
        <w:t>E. 3.1.3</w:t>
      </w:r>
    </w:p>
    <w:p>
      <w:r>
        <w:t>En principe, le congé est valablement notifié par le bailleur à l'adresse de correspondance indiquée dans le contrat de bail, laquelle correspond en général à l'adresse de l'objet loué dans les baux d'habitation (arrêt du Tribunal fédéral 4A_350/2014 du 16 septembre 2014 consid. 2.2). En cas d'absence de longue durée, il revient au locataire de s'organiser afin de pouvoir prendre connaissance de sa correspondance, et, le cas échéant, d'informer le bailleur de l'adresse à laquelle il peut être atteint. Dans ce cas, le bailleur qui sait que le locataire n'est pas atteignable à l'adresse du bail mais à une autre adresse de notification et que cette adresse lui a été communiquée par le locataire, commet en règle générale un abus de droit (art. 2 al. 2 CC) s'il se prévaut néanmoins d'une notification à l'adresse du bail (arrêts du Tribunal fédéral 4A_74/2011 du 2 mai 2011 consid. 3; 4A_67/2021 du 8 avril 2021 consid. 5.2; BOHNET, Bail et notification viciée, in: Newsletter Bail.ch juillet 2011).</w:t>
      </w:r>
    </w:p>
    <w:p>
      <w:r>
        <w:rPr>
          <w:b/>
        </w:rPr>
        <w:t>E. 3.2</w:t>
      </w:r>
    </w:p>
    <w:p>
      <w:r>
        <w:t>En l'espèce, l'appelant soutient que le Tribunal aurait constaté les faits de manière inexacte en retenant que l'intimée avait à chaque occasion précisé que les effets du congé étaient maintenus, en dépit des discussions entre les parties. Il allègue que l'intimée lui avait garanti, oralement, que le congé était annulé. Il résulte toutefois des pièces de la procédure que l'intimée a, dans ses correspondances adressées à l'appelant les 27 juillet et 10 août 2022, confirmé que la résiliation était maintenue. Ces titres ne font pas état d'un autre point. L'appelant a dès lors échoué à rendre vraisemblable que l'intimée lui aurait donné des assurances quant à la continuation de leurs rapports contractuels. Par ailleurs, si l'intimée s'est certes déclarée disposée, par courrier du 27 juillet 2022, à suspendre les effets du congé, elle l'a fait sous deux conditions cumulatives, soit le règlement de la totalité de l'arriéré de loyer, s'élevant à 1'618 fr. 45 et le versement des indemnités courantes pour occupation illicite par mois d'avance. Ces conditions n'ont pas été respectées dans la mesure où l'intimée a informé les locataires, dont l'appelant, par pli du 10 août 2022, que l'indemnité du mois d'août 2022 n'avait pas été versée. Le Tribunal a par conséquent correctement établi les faits. L'appelant soutient ensuite que tant l'état de fait que la situation juridique ne seraient pas clairs, compte tenu des engagements oraux de l'intimée de reconduire le contrat de bail. Ce grief ne résiste pas à l'examen. En effet, comme retenu ci- avant, l'appelant n'a pas démontré avoir respecté les conditions cumulatives posées par l'intimée relatives à une éventuelle suspension des effets de la résiliation. Par ailleurs, après son courrier du 27 juillet 2022, l'intimée a appris que</w:t>
      </w:r>
    </w:p>
    <w:p>
      <w:r>
        <w:t>- 9/10 -</w:t>
      </w:r>
    </w:p>
    <w:p>
      <w:r>
        <w:t>C/18785/2022 les locaux étaient sous-loués, ce dont elle n'avait pas été informée. Elle a, par pli du 10 août 2022, confirmé à l'appelant que le congé était maintenu. Ainsi, les faits sont établis et la situation juridique est claire. Par conséquent, c'est à bon droit que les premiers juges ont considéré que les conditions du cas clair étaient réunies, ont déclaré la requête en évacuation recevable et prononcé l'évacuation de l'appelant.</w:t>
      </w:r>
    </w:p>
    <w:p>
      <w:r>
        <w:rPr>
          <w:b/>
        </w:rPr>
        <w:t>E. 3.3</w:t>
      </w:r>
    </w:p>
    <w:p>
      <w:r>
        <w:t>Le jugement sera dès lors confirmé en tant qu'il prononce l'évacuation de l'appelant. L'acte ne comportant aucune motivation relative aux mesures d'exécution, hormis l'alléguée violation toute générale du droit, elles ne seront pas revues. 4. A teneur de l'art. 22 al. 1 LaCC, il n'est pas prélevé de frais dans les causes soumises à la juridiction des baux et loyers (ATF 139 III 182 consid. 2.6). * * * * *</w:t>
      </w:r>
    </w:p>
    <w:p>
      <w:r>
        <w:t>- 10/10 -</w:t>
      </w:r>
    </w:p>
    <w:p>
      <w:r>
        <w:t>C/18785/2022 PAR CES MOTIFS, La Chambre des baux et loyers :</w:t>
      </w:r>
    </w:p>
    <w:p>
      <w:r>
        <w:t>A la forme : Déclare recevables l'appel et le recours interjetés le 26 décembre 2022 par A______ contre le jugement JTBL/966/2022 rendu le 8 décembre 2022 par le Tribunal des baux et loyers dans la cause C/18785/2022-6-SE. Au fond : Confirme ce jugement.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7</w:t>
      </w:r>
    </w:p>
    <w:p>
      <w:r>
        <w:t>janvier 2019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