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ACJC/343/2025 vom 17. Dezember 2024</w:t>
      </w:r>
    </w:p>
    <w:p>
      <w:r>
        <w:t>GE Cour de justice, 2024-12-17, FR</w:t>
      </w:r>
    </w:p>
    <w:p>
      <w:r>
        <w:rPr>
          <w:b/>
        </w:rPr>
        <w:t xml:space="preserve">Quelle: </w:t>
      </w:r>
      <w:r>
        <w:t>https://mcp.opencaselaw.ch/entscheid/ge_gerichte_ACJC_343_2025</w:t>
      </w:r>
    </w:p>
    <w:p>
      <w:r>
        <w:t>FR: GE_GERICHTE ACJC/343/2025 du 17 décembre 2024</w:t>
      </w:r>
    </w:p>
    <w:p>
      <w:r>
        <w:t>IT: GE_GERICHTE ACJC/343/2025 del 17 dicembre 2024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En l'espèce, le recours a été formé dans le délai et la forme prévus par la loi, de sorte qu'il est recevable. En dépit de la formulation des conclusions du recours, il sera admis que le poursuivi conclut, comme en première instance, au rejet de la requête de mainlevée.</w:t>
      </w:r>
    </w:p>
    <w:p>
      <w:r>
        <w:rPr>
          <w:b/>
        </w:rPr>
        <w:t>E. 1.2</w:t>
      </w:r>
    </w:p>
    <w:p>
      <w:r>
        <w:t>Déposée après l'échéance du délai de 10 jours fixé par la Cour, la réponse de l'intimée au recours est en revanche irrecevable (art. 142 al. 3, 143 al. 1 et 1bis et 322 CPC). Il en va de même de la détermination, tardive, de l'intimée sur la requête d'effet suspensif.</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w:t>
      </w:r>
    </w:p>
    <w:p>
      <w:r>
        <w:t>- 6/9 -</w:t>
      </w:r>
    </w:p>
    <w:p>
      <w:r>
        <w:t>C/17699/2024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w:t>
      </w:r>
    </w:p>
    <w:p>
      <w:r>
        <w:rPr>
          <w:b/>
        </w:rPr>
        <w:t>E. 1.4</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conclusions, les allégations de faits et les preuves nouvelles sont irrecevables (art. 326 al. 1 CPC). Ainsi, les allégations et la pièce nouvelles du recourant ne sont pas recevables et la Cour examinera la cause sur la base du dossier dont disposait le premier juge.</w:t>
      </w:r>
    </w:p>
    <w:p>
      <w:r>
        <w:rPr>
          <w:b/>
        </w:rPr>
        <w:t>E. 3</w:t>
      </w:r>
    </w:p>
    <w:p>
      <w:r>
        <w:t>Le recourant fait grief au Tribunal d'avoir retenu que la décision administrative sur laquelle se fondait la poursuite valait titre de mainlevée. Il soutient qu'il a formé opposition à ladite décision.</w:t>
      </w:r>
    </w:p>
    <w:p>
      <w:r>
        <w:rPr>
          <w:b/>
        </w:rPr>
        <w:t>E. 3.1</w:t>
      </w:r>
    </w:p>
    <w:p>
      <w:r>
        <w:t>Aux termes de l'art. 80 al. 1 LP, le créancier qui est au bénéfice d'un jugement exécutoire peut requérir du juge la mainlevée définitive de l'opposition.</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Selon l'art. 54 al. 2 LPGA, les décisions et les décisions sur opposition exécutoires des caisses de compensations qui portent condamnation à payer une somme d'argent ou à fournir des sûretés sont assimilées aux jugements exécutoires au sens de l'art. 80 LP.</w:t>
      </w:r>
    </w:p>
    <w:p>
      <w:r>
        <w:rPr>
          <w:b/>
        </w:rPr>
        <w:t>E. 3.1.1</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La preuve du caractère exécutoire incombe au poursuivant. Elle peut résulter d'une attestation de l'autorité qui a statué. Dans la mesure où l'attestation délivrée n'est pas rendue aux termes d'une procédure contradictoire, il ne s'agit pas d'une</w:t>
      </w:r>
    </w:p>
    <w:p>
      <w:r>
        <w:t>- 7/9 -</w:t>
      </w:r>
    </w:p>
    <w:p>
      <w:r>
        <w:t>C/17699/2024 décision mais d'un simple moyen de preuve qui ne dispense pas l'autorité d'exécution d'examiner d'office si la décision est réellement exécutoire (ABBET/ VEUILLET, La mainlevée de l'opposition, 2ème éd. 2022, n° 149 ad art. 80 LP et arrêts du Tribunal fédéral cités).</w:t>
      </w:r>
    </w:p>
    <w:p>
      <w:r>
        <w:rPr>
          <w:b/>
        </w:rPr>
        <w:t>E. 3.1.2</w:t>
      </w:r>
    </w:p>
    <w:p>
      <w:r>
        <w:t>Selon l'art. 52 LPGA, les décisions rendues en matière d'assurances sociales peuvent être attaquées dans les trente jours par voie d'opposition auprès de l'assureur qui les a rendues, à l'exception des décisions d'ordonnancement de la procédure.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 188 consid. 1b; DÉFAGO GAUDIN, Commentaire romand, Loi sur la partie générale des assurances sociales, 2018, n° 2 ad art. 52 LPGA). L'opposition est à la fois un véritable moyen de droit que les parties doivent utiliser avant de saisir le juge et une procédure tendant à ce que l'autorité qui a déjà statué rende une nouvelle décision qui se substituera à la première (ATF 132 V 368 consid. 6.1; DÉFAGO GAUDIN, op. cit., ibidem). Les exigences posées à la forme et au contenu d'une opposition ne sont pas élevées; il suffit que la volonté du destinataire d'une décision de ne pas accepter celle-ci ressorte clairement de son écriture ou de ses déclarations (arrêts du Tribunal fédéral 8C_657/2019 du 3 juillet 2020 consid. 3.3; 8C_775/2016 du 1er février 2017 consid. 2.4 et les références); en l'absence d'une telle volonté clairement exprimée de contester la décision, aucune procédure d'opposition n'est engagée (arrêt du Tribunal fédéral 8C_657/2019 précité consid. 3.3 et 8C_475/2007 du 23 avril 2008 consid. 4.2; ATF 134 V 162 consid. 5.1 116 V 353 consid. 2b et les références). L'art. 10 al. 1 OPGA prévoit que l'opposition doit contenir des conclusions et être motivée. L'opposition écrite doit être signée par l'opposant ou par son représentant légal (ATF 142 V 152 consid. 2.2; arrêt du Tribunal fédéral 8C_660/2021 du 28 juin 2022 consid. 3.1). Une opposition contre une décision d'un assureur social formée par e-mail n'est pas recevable (ATF 145 V 90 consid. 6.2.1).</w:t>
      </w:r>
    </w:p>
    <w:p>
      <w:r>
        <w:rPr>
          <w:b/>
        </w:rPr>
        <w:t>E. 3.2</w:t>
      </w:r>
    </w:p>
    <w:p>
      <w:r>
        <w:t>En l'espèce, le courrier non daté (mais vraisemblablement du 29 mars 2024) et non signé du recourant, auquel l'intimée a répondu le 4 avril 2024, ne constitue pas une opposition au sens de l'art. 52 LPGA. En effet, le recourant n'y manifeste pas sa volonté de ne pas accepter la décision du 27 février 2024. Au contraire, il admet sa responsabilité, puisque la société faillie lui appartenait, et affirme qu'il ne refuse pas de payer le montant en</w:t>
      </w:r>
    </w:p>
    <w:p>
      <w:r>
        <w:t>- 8/9 -</w:t>
      </w:r>
    </w:p>
    <w:p>
      <w:r>
        <w:t>C/17699/2024 question. Il ne développe pas de griefs à l'encontre de la décision fondée sur l'art. 52 LAVS et ne prend pas de conclusions en annulation de celle-ci. Il se borne à formuler des questions, et, en substance, à solliciter des explications au sujet des démarches entreprises à l'encontre du directeur de la société. L'intimée lui a répondu qu'une décision avait été communiquée également à ce dernier, contre lequel des démarches identiques allaient être entreprises. Faute d'opposition, la décision du 27 février 2024 était donc exécutoire, de sorte qu'elle pouvait fonder le prononcé de la mainlevée définitive. Le recours, infondé, sera ainsi rejeté.</w:t>
      </w:r>
    </w:p>
    <w:p>
      <w:r>
        <w:rPr>
          <w:b/>
        </w:rPr>
        <w:t>E. 4</w:t>
      </w:r>
    </w:p>
    <w:p>
      <w:r>
        <w:t>Les frais judiciaires de recours seront arrêtés à 800 fr., y compris 200 fr. pour l'arrêt sur effet suspensif (art. 48 et 61 OELP), mis à la charge du recourant, qui succombe (art. 106 al. 1 CPC), et compensés avec l'avance effectuée par celui-ci, qui demeure acquise à l'Etat de Genève (art. 111 al. 1 CPC). Il ne sera pas alloué de dépens à l'intimée qui, à juste titre, n'en sollicite pas (cf. art. 95 al. 3 let. c CPC a contrario). * * * * *</w:t>
      </w:r>
    </w:p>
    <w:p>
      <w:r>
        <w:t>- 9/9 -</w:t>
      </w:r>
    </w:p>
    <w:p>
      <w:r>
        <w:t>C/17699/2024 PAR CES MOTIFS, La Chambre civile : A la forme : Déclare recevable le recours interjeté le 14 janvier 2025 par A______ contre le jugement JTPI/16239/2024 rendu le 17 décembre 2024 par le Tribunal de première instance dans la cause C/17699/2024-22 SML. Au fond : Rejette le recours. Déboute les parties de toutes autres conclusions. Sur les frais : Arrête les frais judiciaires du recours à 800 fr., les met à la charge de A______ et les compense avec l'avance effectuée, qui demeure acquise à l'Etat de Genève. Dit qu'il n'est pas alloué de dépens de recours. Siégeant : Monsieur Laurent RIEBEN, président; Madame Fabienne GEISINGER-MARIETHOZ, Monsieur Ivo BUETTI, juges; Madame Marie-Pierre GROSJEAN, greffière. 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