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ACJC/343/2021 vom 22. März 2021</w:t>
      </w:r>
    </w:p>
    <w:p>
      <w:r>
        <w:t>GE Cour de justice, 2021-03-22, FR</w:t>
      </w:r>
    </w:p>
    <w:p>
      <w:r>
        <w:rPr>
          <w:b/>
        </w:rPr>
        <w:t xml:space="preserve">Quelle: </w:t>
      </w:r>
      <w:r>
        <w:t>https://mcp.opencaselaw.ch/entscheid/ge_gerichte_ACJC_343_2021</w:t>
      </w:r>
    </w:p>
    <w:p>
      <w:r>
        <w:t>FR: GE_GERICHTE ACJC/343/2021 du 22 mars 2021</w:t>
      </w:r>
    </w:p>
    <w:p>
      <w:r>
        <w:t>IT: GE_GERICHTE ACJC/343/2021 del 22 marzo 2021</w:t>
      </w:r>
    </w:p>
    <w:p>
      <w:pPr>
        <w:pStyle w:val="Heading2"/>
      </w:pPr>
      <w:r>
        <w:t>Regeste</w:t>
      </w:r>
    </w:p>
    <w:p>
      <w:r>
        <w:t>Résumé: FIXATION JUDICIAIRE DU LOYER - INTÉRÊT MORATOIRE SUR LE TROP-PERCU Pour fixer le point de départ des intérêts moratoires, il est nécessaire que le débiteur soit mis en demeure (art. 104 al. 1 CO), ce qui présuppose une créance exigible et l'interpellation du créancier (art. 102 al. 1 CO). Dans le cadre d'une diminution de loyer, le Tribunal fédéral a estimé que malgré la créance en restitution du surplus de loyer versé par le locataire - qui avait pour objet l'enrichissement illégitime du bailleur et prenait effet de manière rétroactive à la date du dépôt de la demande - les intérêts devaient courir à la date du jugement, faute d'exigibilité de la créance avant la fin de la procédure, conformément aux règles générales du code des obligations (art. 102 al. 1 et 104 al. 1 CO) et de l'art. 270e CO (arrêt du TF4C_291/2001du 09.07.2002). L'application de ce raisonnement à la réclamation d'intérêts suite à une fixation rétroactive du loyer initial est conforme à la doctrine la plus récente et à la jurisprudence de la Cour (ACJC/684/2020du 25.05.2020;ACJC/1312/2018du 01.10.2018). En effet, tant que le juge n'a pas fixé le juste loyer, la créance compensante - et donc les intérêts en découlant - du locataire n'est pas certaine - et donc exigible.</w:t>
      </w:r>
    </w:p>
    <w:p>
      <w:pPr>
        <w:pStyle w:val="Heading2"/>
      </w:pPr>
      <w:r>
        <w:t>Volltext</w:t>
      </w:r>
    </w:p>
    <w:p>
      <w:r>
        <w:t>Résumé: FIXATION JUDICIAIRE DU LOYER - INTÉRÊT MORATOIRE SUR LE TROP-PERCU Pour fixer le point de départ des intérêts moratoires, il est nécessaire que le débiteur soit mis en demeure (art. 104 al. 1 CO), ce qui présuppose une créance exigible et l'interpellation du créancier (art. 102 al. 1 CO). Dans le cadre d'une diminution de loyer, le Tribunal fédéral a estimé que malgré la créance en restitution du surplus de loyer versé par le locataire - qui avait pour objet l'enrichissement illégitime du bailleur et prenait effet de manière rétroactive à la date du dépôt de la demande - les intérêts devaient courir à la date du jugement, faute d'exigibilité de la créance avant la fin de la procédure, conformément aux règles générales du code des obligations (art. 102 al. 1 et 104 al. 1 CO) et de l'art. 270e CO (arrêt du TF4C_291/2001du 09.07.2002). L'application de ce raisonnement à la réclamation d'intérêts suite à une fixation rétroactive du loyer initial est conforme à la doctrine la plus récente et à la jurisprudence de la Cour (ACJC/684/2020du 25.05.2020;ACJC/1312/2018du 01.10.2018). En effet, tant que le juge n'a pas fixé le juste loyer, la créance compensante - et donc les intérêts en découlant - du locataire n'est pas certaine - et donc exigible.</w:t>
      </w:r>
    </w:p>
    <w:p>
      <w:r>
        <w:t>Descripteurs: Descripteurs: BAIL À LOYER; LOYER INITIAL; NULLITÉ; INTÉRÊT MORATOIRE</w:t>
      </w:r>
    </w:p>
    <w:p>
      <w:r>
        <w:t>Normes: Normes: CO.270e; CO.104; CO.102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