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ACJC/342/2024 vom 18. März 2024</w:t>
      </w:r>
    </w:p>
    <w:p>
      <w:r>
        <w:t>GE Cour de justice, 2024-03-18, FR</w:t>
      </w:r>
    </w:p>
    <w:p>
      <w:r>
        <w:rPr>
          <w:b/>
        </w:rPr>
        <w:t xml:space="preserve">Quelle: </w:t>
      </w:r>
      <w:r>
        <w:t>https://mcp.opencaselaw.ch/entscheid/ge_gerichte_ACJC_342_2024</w:t>
      </w:r>
    </w:p>
    <w:p>
      <w:r>
        <w:t>FR: GE_GERICHTE ACJC/342/2024 du 18 mars 2024</w:t>
      </w:r>
    </w:p>
    <w:p>
      <w:r>
        <w:t>IT: GE_GERICHTE ACJC/342/2024 del 18 marzo 2024</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w:t>
      </w:r>
    </w:p>
    <w:p>
      <w:r>
        <w:t>- 7/14 -</w:t>
      </w:r>
    </w:p>
    <w:p>
      <w:r>
        <w:t>C/21098/2023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les appelants contestent non seulement l'expulsion en tant que telle, mais se prévalent également de la validité du contrat de sous-location, de sorte que la valeur litigieuse est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t>- 8/14 -</w:t>
      </w:r>
    </w:p>
    <w:p>
      <w:r>
        <w:t>C/21098/2023</w:t>
      </w:r>
    </w:p>
    <w:p>
      <w:r>
        <w:rPr>
          <w:b/>
        </w:rPr>
        <w:t>E. 2</w:t>
      </w:r>
    </w:p>
    <w:p>
      <w:r>
        <w:t>Selon la jurisprudence de la Cour (ACJC/646/2019 du 6 mai 2019 consid. 2.1.7), le Tribunal des baux et loyers est compétent à raison de la matière pour statuer sur tout litige relatif aux baux et loyers opposant un bailleur principal à un sous- locataire (restitution des locaux, évacuation, exécution de l'évacuation, demande en paiement d'une indemnité pour occupation illicite, etc.). Cette compétence ne concerne que les rapports entre un bailleur principal et un sous-locataire, à l'exclusion d'un squatteur, d'un occupant non titulaire d'un contrat de bail de sous- location ou d'un occupant à titre gratuit titulaire d'un contrat de prêt à usage, cas où la compétence de la juridiction ordinaire demeure.</w:t>
      </w:r>
    </w:p>
    <w:p>
      <w:r>
        <w:rPr>
          <w:b/>
        </w:rPr>
        <w:t>E. 3</w:t>
      </w:r>
    </w:p>
    <w:p>
      <w:r>
        <w:t>Les appelants reprochent au Tribunal d'avoir retenu que le cas était clair.</w:t>
      </w:r>
    </w:p>
    <w:p>
      <w:r>
        <w:rPr>
          <w:b/>
        </w:rPr>
        <w:t>E. 3.1</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4A_195/2023 du 24 juillet 2023 consid. 3.2; 4A_385/2022 du 14 février 2023 consid. 3.2, 4A_282/2015 du 27 juillet 2015 consid. 2.1).</w:t>
      </w:r>
    </w:p>
    <w:p>
      <w:r>
        <w:rPr>
          <w:b/>
        </w:rPr>
        <w:t>E. 3.1.1</w:t>
      </w:r>
    </w:p>
    <w:p>
      <w:r>
        <w:t>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140 III 315 consid. 5.2.3 et 5.3).</w:t>
      </w:r>
    </w:p>
    <w:p>
      <w:r>
        <w:rPr>
          <w:b/>
        </w:rPr>
        <w:t>E. 3.1.2</w:t>
      </w:r>
    </w:p>
    <w:p>
      <w:r>
        <w:t>La recevabilité de la procédure de protection dans les cas clairs est donc soumise à deux conditions cumulatives.</w:t>
      </w:r>
    </w:p>
    <w:p>
      <w:r>
        <w:rPr>
          <w:b/>
        </w:rPr>
        <w:t>E. 3.1.2.1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w:t>
      </w:r>
    </w:p>
    <w:p>
      <w:r>
        <w:t>- 9/14 -</w:t>
      </w:r>
    </w:p>
    <w:p>
      <w:r>
        <w:t>C/21098/2023</w:t>
      </w:r>
    </w:p>
    <w:p>
      <w:r>
        <w:rPr>
          <w:b/>
        </w:rPr>
        <w:t>E. 3.1.2.2</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arrêts du Tribunal fédéral 4A_195/2023 précité consid. 3.2.2.2; 4A_273/2012 du 30 octobre 2012 consid. 5.1.2, non publié in ATF 138 III 620). Cela ne signifie toutefois pas que l'existence d'un cas clair doit être d'emblée exclue sous l'angle juridique lorsqu'un abus de droit est invoqué. En effet, l'interdiction de l'abus de droit ne présuppose pas la prise en compte de toutes les circonstances du cas d'espèce au sens de la jurisprudence précitée si le comportement considéré est manifestement abusif, ce qui est notamment le cas s'il appartient aux cas typiquement reconnus comme tels par la jurisprudence et la doctrine (arrêts du Tribunal fédéral 4A_195/2023 du 24 juillet 2023 consid. 4.3; 4A_550/2020 du 29 avril 2021 consid. 5.1; 4A_25/2019 du 15 avril 2019 consid. 3; 4A_185/2017 du 15 juin 2017 consid. 5.4; 4A_2/2016 du 18 février 2016 consid. 2.1; 4A_350/2015 du 25 août 2015 consid. 4.2 et la référence).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t>3.2.1 Aux termes de l'art. 263 al. 1 et 2 CO, le locataire d'un local commercial peut transférer son bail à un tiers avec le consentement écrit du bailleur. Le bailleur ne peut refuser son consentement que pour de justes motifs. Le transfert de bail se présente comme un contrat conclu entre le locataire initial et le locataire reprenant à l'effet d'opérer un changement de locataire. Le transfert du bail opérant une substitution de locataire, il a pour résultat de modifier fondamentalement le rapport contractuel initial, de sorte qu'on ne saurait concevoir qu'il intervienne à l'insu du bailleur; le consentement du bailleur, qui doit être donné sous la forme écrite, est une condition suspensive du transfert (ATF 139 III 353 consid. 2.1.1; 125 III 226 consid. 2b). Si le bailleur donne son consentement, le tiers est subrogé au locataire (art. 263 al. 3 CO). En cas de transfert de bail valable, le locataire reprenant prend la place du locataire précédent dans le rapport contractuel (ATF 139 III 353 ibid; WEBER, in</w:t>
      </w:r>
    </w:p>
    <w:p>
      <w:r>
        <w:t>- 10/14 -</w:t>
      </w:r>
    </w:p>
    <w:p>
      <w:r>
        <w:t>C/21098/2023 Basler Kommentar, Obligationenrecht, vol. I, 7e éd. 2020, n. 6 ad art. 263 CO; HIGI, Zürcher Kommentar, 4e éd. 1994, n. 44 ad art. 263 CO). L'art. 263 CO n'exige pas, pour que le transfert de bail soit valable, l'accord d'un éventuel sous-locataire. D'ailleurs, le transfert de bail n'opère ses effets qu'entre les parties au contrat de bail et n'a en principe pas d'effet sur les obligations que celles-ci ont pu contracter à l'égard de tiers (ATF 139 III 353 ibid; BARBEY, Le transfert du bail commercial, SJ 1992 p. 48). 3.2.2 Selon l'art. 275 CO, le bail à ferme est un contrat par lequel le bailleur s'oblige à céder au fermier, moyennant un fermage, l'usage d'un bien ou d'un droit productif et à lui en laisser percevoir les fruits ou les produits. 3.2.3 La sous-location est un contrat par lequel le locataire cède, moyennant le paiement d'un loyer, l'usage de la chose louée à un tiers (le sous-locataire) avec le consentement du bailleur (art. 262 al. 1 CO; art. 291 al. 1 CO pour le sous- affermage). Le bailleur ne peut refuser son consentement que dans les hypothèses visées par l'art. 262 al. 2 CO, respectivement 291 al. 2 CO. La sous-location, respectivement le sous-affermage, est un contrat de bail à part entière, distinct du bail principal, soumis en principe aux règles des art. 253 ss CO (ATF 139 III 353 consid. 2.1.2; WEBER, op. cit., n. 9 ad art. 262 CO; HIGI, op. cit., n. 9 ad art. 262 CO). S'il est vrai que la sous-location constitue un bail en soi distinct du bail principal, il n'en est pas totalement indépendant. Dans un contrat de bail, le bailleur s'engage à céder l'usage de la chose (art. 253 CO), et, dans le contrat de bail à ferme, un bien ou un droit productif (art. 275 CO)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le sous-locataire doit restituer la chose. Il peut, sinon, faire l'objet d'une demande d'expulsion (ATF 139 III 353 ibid). L'art. 273b al. 1 CO précise d'ailleurs que la sous-location ne peut pas être prolongée au-delà du bail principal. Si le sous-locataire doit ainsi restituer la chose avant l'expiration du contrat de sous-location, il peut, le cas échéant, demander des dommages-intérêts au sous-bailleur pour inexécution partielle du contrat (art. 97 CO) (ATF 139 III 353 ibid; HIGI, op. cit., nos 19 et 27 ad art. 262 CO). 3.2.4 Le Tribunal fédéral a retenu qu'à la suite du transfert du bail principal, l'ancien locataire principal avait perdu tout droit d'usage sur le local en cause, dès la date dudit transfert. Il n'était donc plus en mesure de céder de droit d'usage à ses précédents sous-locataires et n'était dès lors plus sou-bailleur. Dès le transfert de</w:t>
      </w:r>
    </w:p>
    <w:p>
      <w:r>
        <w:t>- 11/14 -</w:t>
      </w:r>
    </w:p>
    <w:p>
      <w:r>
        <w:t>C/21098/2023 bail, seul le repreneur, qui a juridiquement le droit d'usage sur la chose, peut le céder à un tiers (ATF 139 III 353 consid. 2.1.3 à 2.1.5). 3.2.5 Selon la jurisprudence et la doctrine, le bailleur principal est fondé à exiger du sous-locataire la restitution de la chose louée, sans que cette démarche ne puisse être qualifiée d'abusive. En effet le contrat de sous-location n'est pas opposable au bailleur principal (arrêt du Tribunal fédéral 4A_468/2022 du 10 novembre 2022 consid. 2.5; 4A_345/2020, 4A_349/2020 du 25 août 2020 consid. 6; LACHAT ET AL., Le bail à loyer, 2019, ch. 7.2 p. 1024; BURKHALTER ET AL., Le droit suisse du bail à loyer, 2011, n. 7 ad art. 273b CO).</w:t>
      </w:r>
    </w:p>
    <w:p>
      <w:r>
        <w:rPr>
          <w:b/>
        </w:rPr>
        <w:t>E. 3.3</w:t>
      </w:r>
    </w:p>
    <w:p>
      <w:r>
        <w:t>Dans le présent cas, il est constant que l'intimée D______ SA a conclu le 31 mai 2021 avec les appelants un contrat d'affermage, soit un contrat de sous- location. Les appelants soutiennent que, nonobstant la signature le 30 juin 2022 de la convention de sortie, ils sont demeurés depuis lors sous-locataires des locaux par actes concluants, le montant du loyer principal ayant été versé directement en mains de la propriétaire de l'immeuble. Le 24 mai 2023, un transfert de bail a été signé entre d'une part la propriétaire de l'immeuble et les locataires principaux (D______ SA, E______, H______, F______, G______) d'autre part, prenant effet le 1er juin 2023. Dès cette date, J______ et K______ sont devenus locataires principaux des locaux en cause. Comme l'a retenu le Tribunal fédéral, l'art. 263 CO n'exige nullement, pour que le transfert de bail soit valable, l'accord d'un éventuel sous-locataire. D'ailleurs, le transfert de bail n'opère ses effets qu'entre les parties au contrat de bail et n'a en principe pas d'effet sur les obligations que celles-ci ont pu contracter à l'égard de tiers. Il importe dès lors peu que les appelants n'aient pas été informés de ce transfert de bail. A la suite du transfert du bail principal, l'intimée D______ SA a perdu tout droit d'usage sur les locaux, dès le 1er juin 2023. Contrairement à ce que soutiennent les appelants, aucun nouveau rapport n'a pu les lier directement à la propriétaire de l'immeuble, de par le règlement direct des loyers auprès d'elle dès le mois de septembre 2022, qui ne dispose d'aucun droit d'usage. Il en va de même en ce qui concerne les repreneurs, lesquels se sont opposés à la présence des appelants dans les locaux. C'est par conséquent à bon droit que le Tribunal a retenu que les appelants n'étaient, depuis le transfert de bail et donc la fin du bail principal, plus au bénéfice d'aucun titre juridique les autorisant à rester dans les locaux. Les appelants soutiennent encore que dans la mesure où le contrat de transfert prévoyait que le locataire transférant était seul responsable de l'inexécution de la libération des locaux, l'intimée C______, en requérant leur évacuation, aurait agi de manière contraire aux règles de la bonne foi et commis un abus de droit. Elle aurait par ailleurs adopté un comportement contradictoire et exercé son droit de</w:t>
      </w:r>
    </w:p>
    <w:p>
      <w:r>
        <w:t>- 12/14 -</w:t>
      </w:r>
    </w:p>
    <w:p>
      <w:r>
        <w:t>C/21098/2023 propriétaire sans ménagement, en acceptant un transfert de bail alors qu'elle connaissait l'existence du contrat de sous-location. Ces questions nécessiteraient l'exercice d'un certain pouvoir d'appréciation, excluant l'application du cas clair. Ce grief est infondé. Selon la jurisprudence et la doctrine rappelées ci-avant, l'action en restitution intentée par le bailleur principal contre le sous-locataire n'est pas constitutive d'une démarche abusive. Par ailleurs, si le bailleur principal doit donner son accord à la sous-location, il n'est pas partie au contrat de sous-location. Aucun comportement contradictoire du bailleur principal ne peut de plus être retenu en raison du transfert de bail. En effet, le locataire est en droit de transférer son contrat de bail et le bailleur principal ne peut refuser son consentement qu'à des conditions restrictives. Par conséquent, ces points ne nécessitent aucun pouvoir d'appréciation commandant de prendre en compte l'ensemble des circonstances du cas. Au vu de ce qui précède, le Tribunal a à bon droit considéré que le cas était clair et prononcé l'évacuation des appelants des locaux litigieux.</w:t>
      </w:r>
    </w:p>
    <w:p>
      <w:r>
        <w:rPr>
          <w:b/>
        </w:rPr>
        <w:t>E. 3.4</w:t>
      </w:r>
    </w:p>
    <w:p>
      <w:r>
        <w:t>L'appel se révèle ainsi infondé. Le jugement entrepris sera donc confirmé.</w:t>
      </w:r>
    </w:p>
    <w:p>
      <w:r>
        <w:rPr>
          <w:b/>
        </w:rPr>
        <w:t>E. 4</w:t>
      </w:r>
    </w:p>
    <w:p>
      <w:r>
        <w:t>Les recourants contestent l'appréciation du Tribunal s'agissant des mesures d'exécution. Ils soutiennent que l'évacuation telle qu'ordonnée ne respecterait pas le principe de proportionnalité.</w:t>
      </w:r>
    </w:p>
    <w:p>
      <w:r>
        <w:rPr>
          <w:b/>
        </w:rPr>
        <w:t>E. 4.1</w:t>
      </w:r>
    </w:p>
    <w:p>
      <w:r>
        <w:t>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considl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Cette protection ne s'applique pas aux locaux commerciaux. Le fait qu'une évacuation immédiate entraînerait une cessation immédiate des activités professionnelles du</w:t>
      </w:r>
    </w:p>
    <w:p>
      <w:r>
        <w:t>- 13/14 -</w:t>
      </w:r>
    </w:p>
    <w:p>
      <w:r>
        <w:t>C/21098/2023 locataire et des répercussions sur sa situation financière n'est pas pertinent et ne peut faire obstacle à l'exécution immédiate du jugement d'évacuation (ACJC/1624/2022 du 12 décembre 2022 consid. 5.1; ACJC/317/2021 du 15 mars 2021 consid. 2.1; ACJC/154/2021 du 8 février 2021 consid. 2.1; ACJC/937/2018 du 12 juillet 2018 consid. 4.1; ACJC/671/2013 du 27 mai 2013 consid. 7.2).</w:t>
      </w:r>
    </w:p>
    <w:p>
      <w:r>
        <w:rPr>
          <w:b/>
        </w:rPr>
        <w:t>E. 4.2</w:t>
      </w:r>
    </w:p>
    <w:p>
      <w:r>
        <w:t>En l'espèce, aucun motif humanitaire au sens de l'art. 30 LaCC n'entre en considération, puisque les locaux litigieux sont des locaux commerciaux. En outre, les éventuelles répercussions sur la situation financière des appelants ne font pas obstacle à l'exécution immédiate du jugement d'évacuation. Même sous l'angle de la proportionnalité, la fin du bail n'a pas été brutale, ni n'a été décidée après une procédure expéditive. Les appelants ont été informés par leur sous- bailleresse le 28 mai 2022 de ce que le contrat de gérance ne serait pas renouvelé et qu'il se terminerait à son échéance déterminée au 30 juin 2022. Une convention de sortie a d'ailleurs été signée par les intéressés le 30 juin 2022, mentionnant la remise des clés. Les appelants ont toutefois ensuite repris possession des locaux. Ils ont par ailleurs admis avoir appris, au début du mois de juin 2023, qu'un contrat de transfert de bail avait été signé. Dès cette date, ils savaient qu'ils ne pouvaient continuer à occuper les locaux. Ils ont ainsi, de fait, bénéficié de temps pour planifier leur déménagement et n'ont pas dû faire face à un départ précipité. Le grief est ainsi infondé, de sorte que le recours sera rejeté.</w:t>
      </w:r>
    </w:p>
    <w:p>
      <w:r>
        <w:rPr>
          <w:b/>
        </w:rPr>
        <w:t>E. 5</w:t>
      </w:r>
    </w:p>
    <w:p>
      <w:r>
        <w:t>A teneur de l'art. 22 al. 1 LaCC, il n'est pas prélevé de frais dans les causes soumises à la juridiction des baux et loyers (ATF 139 III 182 consid. 2.6). * * * * *</w:t>
      </w:r>
    </w:p>
    <w:p>
      <w:r>
        <w:t>- 14/14 -</w:t>
      </w:r>
    </w:p>
    <w:p>
      <w:r>
        <w:t>C/21098/2023 PAR CES MOTIFS, La Chambre des baux et loyers : A la forme : Déclare recevable l'appel et le recours interjetés le 18 décembre 2023 par ASSOCIATION B______ et A______ contre le jugement JTBL/1033/2023 rendu le 23 novembre 2023 par le Tribunal des baux et loyers dans la cause C/21098/2023.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