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ACJC/342/2020 vom 25. Februar 2020</w:t>
      </w:r>
    </w:p>
    <w:p>
      <w:r>
        <w:t>GE Cour de justice, 2020-02-25, FR</w:t>
      </w:r>
    </w:p>
    <w:p>
      <w:r>
        <w:rPr>
          <w:b/>
        </w:rPr>
        <w:t xml:space="preserve">Quelle: </w:t>
      </w:r>
      <w:r>
        <w:t>https://mcp.opencaselaw.ch/entscheid/ge_gerichte_ACJC_342_2020</w:t>
      </w:r>
    </w:p>
    <w:p>
      <w:r>
        <w:t>FR: GE_GERICHTE ACJC/342/2020 du 25 février 2020</w:t>
      </w:r>
    </w:p>
    <w:p>
      <w:r>
        <w:t>IT: GE_GERICHTE ACJC/342/2020 del 25 febbraio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les montants contestés, tels qu'ils résultent de la procédure de première instance, une fois capitalisés (art. 92 al. 2 CPC), sont supérieurs à 10'000 fr., de sorte que la voie de l'appel est ouverte.</w:t>
      </w:r>
    </w:p>
    <w:p>
      <w:r>
        <w:rPr>
          <w:b/>
        </w:rPr>
        <w:t>E. 1.2</w:t>
      </w:r>
    </w:p>
    <w:p>
      <w:r>
        <w:t>Interjeté dans le délai utile de dix jours (art. 271 let. a, 276 et 314 al. 1 CPC), suivant la forme prescrite par la loi (art. 130, 131, 142 al. 3, 311 al. 1 CPC), l'appel est recevable. Sont également recevables le mémoire de réponse ainsi que les réplique et duplique des parties (art. 248 let. d, 312 al. 1 et 314 al. 1 CPC; ATF 138 I 154 consid. 2.3.3; 137 I 195 consid. 2.3.1 = SJ 2011 I 345).</w:t>
      </w:r>
    </w:p>
    <w:p>
      <w:r>
        <w:rPr>
          <w:b/>
        </w:rPr>
        <w:t>E. 1.3</w:t>
      </w:r>
    </w:p>
    <w:p>
      <w:r>
        <w:t>Les parties, qui sont de nationalité étrangère, sont domiciliées à Genève. Avec raison, elles ne remettent pas en cause la compétence de la Cour de justice pour</w:t>
      </w:r>
    </w:p>
    <w:p>
      <w:r>
        <w:t>- 7/15 -</w:t>
      </w:r>
    </w:p>
    <w:p>
      <w:r>
        <w:t>C/19944/2018 connaître du litige (art. 46, 79 al. 1 et 85 al. 1 LDIP) en application du droit suisse (art. 48 al. 1, 49, 82 al. 1 et 83 LDIP; art. 15ss CLaH96 et art. 4 de la Convention de La Haye du 2 octobre 1973 sur la loi applicable aux obligations alimentaires).</w:t>
      </w:r>
    </w:p>
    <w:p>
      <w:r>
        <w:rPr>
          <w:b/>
        </w:rPr>
        <w:t>E. 1.4</w:t>
      </w:r>
    </w:p>
    <w:p>
      <w:r>
        <w:t>La Cour dispose d'un pouvoir d'examen complet (art. 310 CPC).</w:t>
      </w:r>
    </w:p>
    <w:p>
      <w:r>
        <w:t>Les mesures protectrices étant régies par la procédure sommaire selon l'art. 271 let. a CPC, sa cognition est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rPr>
          <w:b/>
        </w:rPr>
        <w:t>E. 1.5</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(disposition également applicable dans une procédure de mesures protectrices de l'union conjugale, arrêt du Tribunal fédéral 5A_524/2017 du 9 octobre 2017 consid. 3.1). Dès lors, les chiffres 1, 2, 5 à 8 et 11 du dispositif du jugement entrepris, non remis en cause par l'appelante, sont entrés en force de chose jugée.</w:t>
      </w:r>
    </w:p>
    <w:p>
      <w:r>
        <w:rPr>
          <w:b/>
        </w:rPr>
        <w:t>E. 1.6</w:t>
      </w:r>
    </w:p>
    <w:p>
      <w:r>
        <w:t>Lorsque le litige porte sur la contribution d'entretien d'un enfant mineur, les maximes d'office et inquisitoire illimitée s'appliquent (art. 296 al. 1 et 3 CPC), de sorte que la Cour n'est pas liée ni par les conclusions des parties (art. 58 al. 2 et 296 al. 3 CPC), ni par l'interdiction de la reformatio in pejus; elle établit les faits d'office (art. 55 al. 2 CPC; ATF 129 III 417 consid. 2.1.2).</w:t>
      </w:r>
    </w:p>
    <w:p>
      <w:r>
        <w:t>La maxime de disposition est applicable s'agissant de la contribution d'entretien due à l'épouse (ATF 129 III 417 consid. 2.1.2; arrêt du Tribunal fédéral 5A_757/2013 du 14 juillet 2014 consid. 2.1).</w:t>
      </w:r>
    </w:p>
    <w:p>
      <w:r>
        <w:rPr>
          <w:b/>
        </w:rPr>
        <w:t>E. 2</w:t>
      </w:r>
    </w:p>
    <w:p>
      <w:r>
        <w:t>Les parties ont produit des pièces nouvelles en appel.</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w:t>
      </w:r>
    </w:p>
    <w:p>
      <w:r>
        <w:t>- 8/15 -</w:t>
      </w:r>
    </w:p>
    <w:p>
      <w:r>
        <w:t>C/19944/2018 admis en appel (arrêt du Tribunal fédéral 5A_788/2017 du 2 juillet 2018 consid. 4.2.1 destiné à la publication; ACJC/280/2018 du 6 mars 2018 consid. 2.1).</w:t>
      </w:r>
    </w:p>
    <w:p>
      <w:r>
        <w:rPr>
          <w:b/>
        </w:rPr>
        <w:t>E. 2.2</w:t>
      </w:r>
    </w:p>
    <w:p>
      <w:r>
        <w:t>Partant, les pièces nouvellement versées à la procédure par les parties sont recevables, ainsi que les allégués de fait s'y rapportant, dans la mesure où elles concernent la situation personnelle et financière des parties, susceptible d'influencer la contribution due à leurs enfants mineurs.</w:t>
      </w:r>
    </w:p>
    <w:p>
      <w:r>
        <w:rPr>
          <w:b/>
        </w:rPr>
        <w:t>E. 3</w:t>
      </w:r>
    </w:p>
    <w:p>
      <w:r>
        <w:t>Les parties ne remettent pas en question le montant de la contribution mensuelle d'entretien fixée à 560 fr. par enfant. Elles s'affrontent uniquement sur la question du dies a quo. L'appelante souhaite que le point de départ des contributions soit fixé au 3 septembre 2018 et l'intimé, dès le prononcé du jugement, comme l'a retenu le Tribunal.</w:t>
      </w:r>
    </w:p>
    <w:p>
      <w:r>
        <w:rPr>
          <w:b/>
        </w:rPr>
        <w:t>E. 3.1</w:t>
      </w:r>
    </w:p>
    <w:p>
      <w:r>
        <w:t>Selon l'art. 176 al. 1 ch. 1 CC, à la requête d'un époux et si la suspension de la vie commune est fondée, le juge fixe les contributions d'entretien à verser respectivement aux enfants et à l'époux.</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arrêts du Tribunal fédéral 5A_454/2017 du 17 mai 2018 consid. 4.1 et 5A_232/2011 du 17 août 2011 consid. 4.1).</w:t>
      </w:r>
    </w:p>
    <w:p>
      <w:r>
        <w:rPr>
          <w:b/>
        </w:rPr>
        <w:t>E. 3.2</w:t>
      </w:r>
    </w:p>
    <w:p>
      <w:r>
        <w:t>En l'espèce, l'appelante a formé une requête de mesures protectrices de l'union conjugale le 3 septembre 2018. Les époux vivent séparés depuis le 15 septembre 2018, date à laquelle l'appelante a assumé seule la garde des enfants. Elle ne peut, en tout état, pas solliciter de contribution avant le 15 septembre 2018. L'intimé a versé une contribution mensuelle d'entretien de 500 fr. par enfant à partir du 30 novembre 2018. L'appelante, qui a commencé à travailler le 1er septembre 2018, ne couvrait pas ses charges mensuelles d'entretien au moment de la séparation. Elle n'a a fortiori pas pu couvrir celles de ses enfants du 15 septembre au 30 novembre 2018, date du premier versement de 1'000 fr. effectué par l'appelant à ce titre. De plus, à partir de cette date, il lui a manqué 60 fr. par mois et par enfant pour assumer l'entier de leurs charges mensuelles. Par conséquent, la contribution mensuelle d'entretien de 560 fr. par enfant est due depuis le 15 septembre 2018, sous déduction des montants de 500 fr. par mois et par enfant déjà versés par l'intimé à partir du 30 novembre 2018.</w:t>
      </w:r>
    </w:p>
    <w:p>
      <w:r>
        <w:t>- 9/15 -</w:t>
      </w:r>
    </w:p>
    <w:p>
      <w:r>
        <w:t>C/19944/2018 L'appel est fondé sur ce point, de sorte que le ch. 3 du dispositif du jugement entrepris sera modifié dans ce sens.</w:t>
      </w:r>
    </w:p>
    <w:p>
      <w:r>
        <w:rPr>
          <w:b/>
        </w:rPr>
        <w:t>E. 4</w:t>
      </w:r>
    </w:p>
    <w:p>
      <w:r>
        <w:t>avril 2008 consid. 2.2).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 La jurisprudence considère comme admissible de recourir à la méthode du minimum vital élargi avec répartition de l'excédent lorsque, bien que bénéficiant d'une situation financière favorable, les époux dépensaient l'entier de leur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arrêt du Tribunal fédéral 5A_970/2017 du</w:t>
      </w:r>
    </w:p>
    <w:p>
      <w:r>
        <w:rPr>
          <w:b/>
        </w:rPr>
        <w:t>E. 4.2</w:t>
      </w:r>
    </w:p>
    <w:p>
      <w:r>
        <w:t>En l'espèce, les parties ne contestent pas l'application de la méthode du minimum vital avec la répartition de l'excédent choisie par le Tribunal pour le calcul de la contribution mensuelle d'entretien due à l'appelante. Quand bien même l'appelant a effectué d'autres dépenses au moyen de son disponible mensuel, il n'a pas rendu vraisemblable qu'il aurait effectué des économies, de sorte que l'entier de son disponible mensuel a été affecté à la satisfaction des besoins de la famille durant la vie commune.</w:t>
      </w:r>
    </w:p>
    <w:p>
      <w:r>
        <w:t>Ensuite, la contribution mensuelle d'entretien fixée à 800 fr. par le Tribunal ne couvre que les dépenses du minimum vital élargi de l'épouse, lesquelles ne correspondaient pas au train de vie mené par les époux durant la vie commune, l'époux assumant notamment pour l'appelante le leasing de son véhicule et une place de parking.</w:t>
      </w:r>
    </w:p>
    <w:p>
      <w:r>
        <w:t>Le partage par moitié de l'excédent entre les époux n'est pas problématique car ces derniers exercent une garde partagée sur leurs enfants, de sorte que ceux-ci bénéficieront d'un train de vie plus élevé par l'intermédiaire de leurs parents.</w:t>
      </w:r>
    </w:p>
    <w:p>
      <w:r>
        <w:t>- 12/15 -</w:t>
      </w:r>
    </w:p>
    <w:p>
      <w:r>
        <w:t>C/19944/2018</w:t>
      </w:r>
    </w:p>
    <w:p>
      <w:r>
        <w:t>Aucun revenu hypothétique ne sera imputé à l'épouse, ni pour une activité exercée à plein temps, ni dans une autre activité professionnelle au regard de ses qualifications dans la présente procédure de mesures protectrices, en l'absence d'appel de la part de l'intimé. En tout état de cause, elle n'a pas exercé d'activité lucrative durant la vie commune, hormis durant quatre mois et demi en 2017, de sorte qu'elle ne dispose d'aucune expérience professionnelle en relation avec sa formation universitaire.</w:t>
      </w:r>
    </w:p>
    <w:p>
      <w:r>
        <w:t>Il résulte de ce qui précède que le revenu mensuel net de l'intimé est de 9'496 fr. et que ses charges mensuelles totalisent 4'663 fr. (et non pas 4'638 fr., chiffre erroné retenu en première instance à la suite d'une erreur d'addition), de sorte que son disponible mensuel est de 4'833 fr. (9'496 fr. – 4'663 fr.).</w:t>
      </w:r>
    </w:p>
    <w:p>
      <w:r>
        <w:t>Le revenu mensuel net de l'appelante est de 2'084 fr. et ses charges mensuelles totalisent 2'821 fr., de sorte que son déficit mensuel est 747 fr.</w:t>
      </w:r>
    </w:p>
    <w:p>
      <w:r>
        <w:t>L'excédent mensuel du couple est ainsi de 4'086 fr. (4'833 fr. – 747 fr.), dont il convient de déduire les contributions mensuelles d'entretien dues aux enfants (1'120 fr. au total), ce qui réduit l'excédent à partager à 2'966 fr., ce qui revient à allouer 1'483 fr. à chacune des parties. La contribution mensuelle d'entretien due à l'appelante se monte ainsi à 2'230 fr. (747 fr. + 1'483 fr.).</w:t>
      </w:r>
    </w:p>
    <w:p>
      <w:r>
        <w:t>Ce montant sera dû depuis le 15 septembre 2018 pour les mêmes raisons (cf. consid. 3.2 ci-dessus), l'appelante n'ayant pas disposé d'un revenu mensuel suffisant pour couvrir ses charges mensuelles à partir de cette date, et jusqu'au 30 novembre 2020, veille de l'augmentation de son loyer à 2'150 fr. En effet, à partir du 1er décembre 2020 (et non pas du 1er décembre 2021 comme indiqué par inadvertance dans le contrat de bail), les charges mensuelles de l'appelante totaliseront 3'448 fr. avec la prise en compte de 70% du loyer de 2'510 fr., de sorte que son déficit mensuel sera de 1'364 fr. L'excédent disponible se réduira en conséquence à 3'469 fr. (4'833 fr – 1'364 fr.), respectivement à 2'349 fr. après déduction des contributions d'entretien dues aux enfants (3'469 fr. – 1'120 fr.), ce qui représente un montant de 1'174 fr. pour chacune des parties. La contribution mensuelle d'entretien due à l'appelante (1'364 fr. + 1'174 fr.), sera par conséquent fixée au montant de 2'269 fr. selon ses conclusions (art. 58 al. 1 CPC) et due à partir du 1er décembre 2020. Compte tenu de ce résultat, il n'y a pas lieu de s'interroger contrairement à ce que souhaitait l'intimé sur une éventuelle subvention de loyer, dont la quotité n'a en tout état de cause pas été rendue vraisemblable. La contribution mensuelle d'entretien de l'épouse de 2'230 fr. sera due sous déduction des montants déjà versés par l'intimé, lequel n'a pas fourni un décompte précis indiquant les montants payés au titre de contribution d'entretien pour ses enfants, les allocations familiales et ceux alloués pour son épouse.</w:t>
      </w:r>
    </w:p>
    <w:p>
      <w:r>
        <w:t>- 13/15 -</w:t>
      </w:r>
    </w:p>
    <w:p>
      <w:r>
        <w:t>C/19944/2018 L'appel est partiellement fondé sur ce point, de sorte que le chiffre 4 du dispositif du jugement entrepris sera modifié dans ce sens. 5. Les parties ont chacune conclu à la condamnation de l'autre aux frais judiciaires avec suite de dépens. 5.1 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w:t>
      </w:r>
    </w:p>
    <w:p>
      <w:r>
        <w:t>5.2 En l'espèce, en ce qui concerne les frais de première instance et leur répartition, conformes aux normes précitées et non contestés, ils seront confirmés par la Cour.</w:t>
      </w:r>
    </w:p>
    <w:p>
      <w:r>
        <w:t>5.3 Les frais judiciaires de l'appel seront arrêtés à 1'000 fr. (art. 31 RTFMC; art. 95 al. 2 et 105 al. 2 CPC) et mis à la charge de l'intimé, qui succombe. L'intimé sera par conséquent condamné à verser la somme de 1'000 fr. à l'Etat de Genève, soit pour lui les Services financiers du Pouvoir judiciaire.</w:t>
      </w:r>
    </w:p>
    <w:p>
      <w:r>
        <w:t>Compte tenu de la nature familiale du litige, chaque partie conservera à sa charge ses propres dépens d'appel (art. 107 al. 1 let. c CPC). 6. Le présent arrêt, qui statue sur mesures provisionnelles, est susceptible d'un recours en matière civile, les moyens étant limités en application de l'art. 98 LTF. * * * * *</w:t>
      </w:r>
    </w:p>
    <w:p>
      <w:r>
        <w:t>- 14/15 -</w:t>
      </w:r>
    </w:p>
    <w:p>
      <w:r>
        <w:t>C/19944/2018 PAR CES MOTIFS, La Chambre civile : A la forme : Déclare recevable l'appel interjeté le 28 octobre 2019 par A______ contre les chiffres 3 et 4 du dispositif du jugement JTPI/14460/2019 rendu le 11 octobre 2019 par le Tribunal de première instance dans la cause C/19944/2018-8. Au fond : Annule les chiffres 3 et 4 du dispositif de ce jugement et statuant à nouveau : Condamne B______ à verser en mains de A______, par mois, d'avance et par enfant, allocations familiales éventuelles non comprises, une somme de 560 fr. dès le 15 septembre 2018 au titre de contribution à l'entretien des enfants C______ et D______, sous déduction des montants de 500 fr. par enfant versés à partir du 30 novembre 2018. Condamne B______ à verser à A______ la somme mensuelle de 2'230 fr. à titre de contribution d'entretien du 15 septembre 2018 au 30 novembre 2020, sous déduction des montants déjà versés au titre de contribution à son entretien, puis de 2'269 fr. à partir du 1er décembre 2020. Confirme le jugement entrepris pour le surplus. Déboute les parties de toutes autres conclusions. Sur les frais : Arrête les frais judiciaires d'appel à 1'000 fr. et les met à la charge de B______. Condamne B______ à verser à l'Etat de Genève, soit pour lui les Services financiers du Pouvoir judiciaire, la somme de 1'000 fr. à titre de frais judiciaires d'appel. Dit que chaque partie supporte ses propres dépens d'appel.</w:t>
      </w:r>
    </w:p>
    <w:p>
      <w:r>
        <w:t>- 15/15 -</w:t>
      </w:r>
    </w:p>
    <w:p>
      <w:r>
        <w:t>C/19944/2018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juin 2018 consid. 4.2 et la référence citée). 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5A_830/2018 du 21 mars 2018 consid. 3.3.1). Seules les charges effectives, dont le débirentier ou le crédirentier s'acquitte réellement doivent être prises en compte (ATF 140 III 337 consid. 4.2.3;</w:t>
      </w:r>
    </w:p>
    <w:p>
      <w:r>
        <w:t>- 11/15 -</w:t>
      </w:r>
    </w:p>
    <w:p>
      <w:r>
        <w:t>C/19944/2018 121 III 20 consid. 3a; arrêts du Tribunal fédéral 5A_426/2016 du 2 novembre 2016 consid. 4.2 et 5A_65/2013 du 4 septembre 2013 consid. 3.2.1).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4.1.3 Selon l'art. 58 al. 1 CPC, le tribunal ne peut accorder à une partie ni plus ni autre chose que ce qui est demandé, ni moins que ce qui est reconnu par la partie adverse. 4.1.4 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que le premier juge (arrêt du Tribunal fédéral 5A_804/2018 du 18 janvier 2019 consid. 3.2).</w:t>
      </w:r>
    </w:p>
    <w:p>
      <w:r>
        <w:t>4.1.5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