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ACJC/341/2023 vom 23. September 2022</w:t>
      </w:r>
    </w:p>
    <w:p>
      <w:r>
        <w:t>GE Cour de justice, 2022-09-23, FR</w:t>
      </w:r>
    </w:p>
    <w:p>
      <w:r>
        <w:rPr>
          <w:b/>
        </w:rPr>
        <w:t xml:space="preserve">Quelle: </w:t>
      </w:r>
      <w:r>
        <w:t>https://mcp.opencaselaw.ch/entscheid/ge_gerichte_ACJC_341_2023</w:t>
      </w:r>
    </w:p>
    <w:p>
      <w:r>
        <w:t>FR: GE_GERICHTE ACJC/341/2023 du 23 septembre 2022</w:t>
      </w:r>
    </w:p>
    <w:p>
      <w:r>
        <w:t>IT: GE_GERICHTE ACJC/341/2023 del 23 settembre 2022</w:t>
      </w:r>
    </w:p>
    <w:p>
      <w:pPr>
        <w:pStyle w:val="Heading2"/>
      </w:pPr>
      <w:r>
        <w:t>Erwägungen</w:t>
      </w:r>
    </w:p>
    <w:p>
      <w:r>
        <w:rPr>
          <w:b/>
        </w:rPr>
        <w:t>E. 1.1</w:t>
      </w:r>
    </w:p>
    <w:p>
      <w:r>
        <w:t>Une décision de refus de suspension de la procédure – à la différence du prononcé de la suspension (cf. art. 126 al. 2 en lien avec art. 319 lit. b ch. 1 CPC)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w:t>
      </w:r>
    </w:p>
    <w:p>
      <w:r>
        <w:rPr>
          <w:b/>
        </w:rPr>
        <w:t>E. 1.2</w:t>
      </w:r>
    </w:p>
    <w:p>
      <w:r>
        <w:t>En l'espèce, le recours a été déposé dans le délai et la forme requis par la loi (art. 143 al. 1 et 321 al. 1 et 2 CPC).</w:t>
      </w:r>
    </w:p>
    <w:p>
      <w:r>
        <w:rPr>
          <w:b/>
        </w:rPr>
        <w:t>E. 2</w:t>
      </w:r>
    </w:p>
    <w:p>
      <w:r>
        <w:t>La recourante se plaint d'une violation de son droit d'être entendue, motif pris que le Tribunal lui a communiqué la réponse de l'intimée avec l'ordonnance entreprise, la privant ainsi de son droit de répliquer.</w:t>
      </w:r>
    </w:p>
    <w:p>
      <w:r>
        <w:t>L'intimée fait valoir que la recourante a eu connaissance de sa détermination qu'elle lui a transmise par pli du 19 septembre 2022, et qu'elle n'a pas déposé de réplique ou annoncé son intention de le faire. De plus, elle n'expose pas quels arguments de droit elle aurait encore pu faire valoir, ni en quoi ceux-ci auraient été susceptibles d'avoir une incidence sur l'issue du litige.</w:t>
      </w:r>
    </w:p>
    <w:p>
      <w:r>
        <w:rPr>
          <w:b/>
        </w:rPr>
        <w:t>E. 2.1</w:t>
      </w:r>
    </w:p>
    <w:p>
      <w:r>
        <w:t>Compris comme l'un des aspects de la notion générale de procès équitable, le droit d'être entendu (art. 29 al. 2 Cst.) comprend également le droit, pour une partie à un procès, de prendre connaissance de toute argumentation présentée au</w:t>
      </w:r>
    </w:p>
    <w:p>
      <w:r>
        <w:t>- 5/8 -</w:t>
      </w:r>
    </w:p>
    <w:p>
      <w:r>
        <w:t>C/9336/2021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 Malgré son caractère formel, la garantie du droit d'être entendu n'est pas une fin en soi. Dès lors,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Selon le principe général de la bonne foi (art. 2 CC) une partie qui n'a pas eu la possibilité de se déterminer sur un acte doit avoir la possibilité de présenter ses arguments. Si toutefois l'on ne voit pas en quoi cet acte pourrait avoir une portée, le plaideur doit à tout le moins démontrer que pour lui, il y a vraiment lieu à détermination (arrêts précités). Si notamment, le plaideur n'a rien à dire sur un acte, son grief revient à exercer son droit sans raison, ce qui ne mérite pas de protection (arrêt du Tribunal fédéral 4A_453/2016 du 16 février 2017 consid. 4.2.3 et 4.2.4).</w:t>
      </w:r>
    </w:p>
    <w:p>
      <w:r>
        <w:rPr>
          <w:b/>
        </w:rPr>
        <w:t>E. 2.2</w:t>
      </w:r>
    </w:p>
    <w:p>
      <w:r>
        <w:t>En l'espèce, le Tribunal n'a certes pas transmis à la recourante la détermination de l'intimée sur sa requête de suspension avant de rendre sa décision, la privant ainsi de la possibilité de répliquer.</w:t>
      </w:r>
    </w:p>
    <w:p>
      <w:r>
        <w:t>Cela étant, la recourante a eu connaissance de cette détermination qui lui a été transmise par l'intimée à titre confraternel. Elle n'a pas sollicité de délai pour répliquer ni n'a répliqué spontanément. Elle n'expose pas non plus dans son recours quels arguments elle aurait pu faire valoir devant le Tribunal ni en quoi ceux-ci auraient été susceptibles d'avoir une incidence sur l'issue du litige, étant relevé que sa requête de suspension est motivée de manière circonstanciée.</w:t>
      </w:r>
    </w:p>
    <w:p>
      <w:r>
        <w:t>Il en découle que le renvoi de la cause au juge précédent serait une vaine formalité et conduirait à un allongement inutile de la procédure.</w:t>
      </w:r>
    </w:p>
    <w:p>
      <w:r>
        <w:rPr>
          <w:b/>
        </w:rPr>
        <w:t>E. 3</w:t>
      </w:r>
    </w:p>
    <w:p>
      <w:r>
        <w:t>Reste à examiner si l'ordonnance querellée peut causer à la recourante un préjudice difficilement réparable au sens de l'art. 319 let. b ch. 2 CPC, ce qui est contesté par l'intimé. 3.1.1 La notion de "préjudice difficilement réparable" est plus large que celle de "préjudice irréparable" consacré par l'art. 93 al. 1 let. a LTF. Ainsi, elle ne vise</w:t>
      </w:r>
    </w:p>
    <w:p>
      <w:r>
        <w:t>- 6/8 -</w:t>
      </w:r>
    </w:p>
    <w:p>
      <w:r>
        <w:t>C/9336/2021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CPC,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n° 8 ad art. 319 CPC; Jeandin, op. cit., n° 22a ad art. 319 CPC).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 Un accroissement des frais ou une simple prolongation de la procédure ne constitue pas un dommage difficile à réparer (SPÜHLER, Basler Kommentar, Schweizerische Zivilprozessordnung, 2017, n° 7 ad art. 319 CPC; HOFFMANN- NOWOTNY, ZPO-Rechtsmittel, Berufung und Beschwerde, 2013, n° 25 ad art. 319 CPC). 3.1.2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w:t>
      </w:r>
    </w:p>
    <w:p>
      <w:r>
        <w:t>- 7/8 -</w:t>
      </w:r>
    </w:p>
    <w:p>
      <w:r>
        <w:t>C/9336/2021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w:t>
      </w:r>
    </w:p>
    <w:p>
      <w:r>
        <w:rPr>
          <w:b/>
        </w:rPr>
        <w:t>E. 3.2</w:t>
      </w:r>
    </w:p>
    <w:p>
      <w:r>
        <w:t>En l'espèce, la recourante n'expose pas en quoi la décision querellée lui causerait un dommage difficilement réparable. Elle se limite à soutenir que l'ordonnance entreprise n'est pas opportune, puisqu'attendre la finalisation du transfert de propriété, laquelle devrait intervenir rapidement grâce à l'intervention de la représentante de la communauté héréditaire de C______, rendrait la présente procédure sans objet. En effet, elle ne remet pas en cause l'exercice de son droit de préemption ni ne s'oppose sur le principe à rembourser les acomptes que l'intimée aurait versés selon les termes de l'acte authentique du 28 février 2017. Des motifs d'opportunité ne permettent pas de retenir l'existence d'un préjudice difficilement réparable. Elle plaide uniquement qu'elle ne dispose pas en l'état de la légitimation passive, son inscription au Registre foncier en qualité de seule propriétaire de la parcelle de D______ n'ayant pu encore intervenir. Le seul risque d'être condamnée à payer la somme réclamée à l'issue de la présente procédure, si sa légitimation passive devait être admise, n'est pas non plus constitutif d'un dommage difficilement réparable. La décision ainsi rendue sera susceptible d'appel, à l'occasion duquel la recourante pourra faire valoir ses arguments. Au vu de ce qui précède, le recours est irrecevable.</w:t>
      </w:r>
    </w:p>
    <w:p>
      <w:r>
        <w:rPr>
          <w:b/>
        </w:rPr>
        <w:t>E. 4</w:t>
      </w:r>
    </w:p>
    <w:p>
      <w:r>
        <w:t>Les frais du recours, arrêtés à l'200 fr., seront mis à la charge de la recourante, qui succombe, et compensés avec l'avance opérée, acquise à l'Etat.</w:t>
      </w:r>
    </w:p>
    <w:p>
      <w:r>
        <w:t>La recourante sera condamnée à verser à l'intimée la somme de 2'000 fr. à titre de dépens de recours (art. 84, 85, et 90 RTFMC; art. 23 LaCC), compte tenu de l'absence de complexité de la procédure et de l'activité du conseil de l'intimée déployée devant la Cour. * * * * *</w:t>
      </w:r>
    </w:p>
    <w:p>
      <w:r>
        <w:t>- 8/8 -</w:t>
      </w:r>
    </w:p>
    <w:p>
      <w:r>
        <w:t>C/9336/2021</w:t>
      </w:r>
    </w:p>
    <w:p>
      <w:r>
        <w:t>PAR CES MOTIFS, La Chambre civile :</w:t>
      </w:r>
    </w:p>
    <w:p>
      <w:r>
        <w:t>Déclare irrecevable le recours interjeté par A______ contre l'ordonnance ORTPI/1043/2022 rendue le 23 septembre 2022 par le Tribunal de première instance dans la cause C/9336/2021. Arrête les frais du recours à 1'200 fr., les met à la charge de A______, et dit qu'ils sont compensés avec l'avance fournie, acquise à l'Etat de Genève. Condamne A______ à verser à B______ la somme de 2'000 fr. à titre de dépens de recours. Siégeant : Monsieur Cédric-Laurent MICHEL, président; Madame Pauline ERARD et Madame Paola CAMPOMAGNANI, juges; Madame Gladys REICHENBACH, greffière.</w:t>
      </w:r>
    </w:p>
    <w:p>
      <w:r>
        <w:t>Le président : Cédric-Laurent MICHEL</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