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ACJC/341/2021 vom 16. März 2021</w:t>
      </w:r>
    </w:p>
    <w:p>
      <w:r>
        <w:t>GE Cour de justice, 2021-03-16, FR</w:t>
      </w:r>
    </w:p>
    <w:p>
      <w:r>
        <w:rPr>
          <w:b/>
        </w:rPr>
        <w:t xml:space="preserve">Quelle: </w:t>
      </w:r>
      <w:r>
        <w:t>https://mcp.opencaselaw.ch/entscheid/ge_gerichte_ACJC_341_2021</w:t>
      </w:r>
    </w:p>
    <w:p>
      <w:r>
        <w:t>FR: GE_GERICHTE ACJC/341/2021 du 16 mars 2021</w:t>
      </w:r>
    </w:p>
    <w:p>
      <w:r>
        <w:t>IT: GE_GERICHTE ACJC/341/2021 del 16 marzo 2021</w:t>
      </w:r>
    </w:p>
    <w:p>
      <w:pPr>
        <w:pStyle w:val="Heading2"/>
      </w:pPr>
      <w:r>
        <w:t>Erwägungen</w:t>
      </w:r>
    </w:p>
    <w:p>
      <w:r>
        <w:rPr>
          <w:b/>
        </w:rPr>
        <w:t>E. 9</w:t>
      </w:r>
    </w:p>
    <w:p>
      <w:r>
        <w:t>janvier 2009, date à laquelle B______ met fin aux opérations de E______, les avoirs passent à 2'184'571 fr., soit 84,6% de liquidités, et 15,4% de positions. 4-5) Fréquence des transactions effectués par E______ sur le compte de B______ (cf rapport d'expertise, chiffres 4) et 5), p. 13). E______ était un trader de très haute fréquence. Pour la période allant du 1er septembre 2008 au 9 janvier 2009, il a exécuté: - 102 opérations sur les actions, - 492 opérations en contrats sur différence,</w:t>
      </w:r>
    </w:p>
    <w:p>
      <w:r>
        <w:t>- 17/35 -</w:t>
      </w:r>
    </w:p>
    <w:p>
      <w:r>
        <w:t>C/1031/2012 - 15'072 opérations en contrats futurs et - 1'099 opérations en FOREX. Cette fréquence correspondait au style et à la stratégie de gestion suivie par E______ depuis le début de sa relation avec B______. E______ avait toujours été très clair dans son rejet des techniques de gestion traditionnelles, telles que pratiquées dans les banques suisses. Sa spécialité était le trading à haute fréquence sur les produits dérivés à effet de levier. L'horizon de temps d'investissements de E______ se mesurait en minutes ou en heures, pas en mois ou années comme c'était le cas en gestion traditionnelle en actions et obligations. A partir de ce constat, il n'existait pas de règle générale concernant le nombre adéquat d'opérations qu'un trader peut réaliser dans un laps de temps donné. 6) Existence de "barattage"? (cf rapport d'expertise, chiffre 6, p. 13). Il n'existait pas de règle générale concernant le nombre adéquat d'opérations qu'un trader pouvait réaliser dans un laps de temps donné et, en l'espèce, on ne pouvait pas parler de barattage par rapport à la fréquence des opérations, dès lors que cette fréquence était intrinsèque au style et à la stratégie de gestion de E______. En effet, en gestion classique, un gestionnaire qui se mettrait à faire tourner les portefeuilles à plus de 100% par an, par exemple, remplirait probablement un des indices de barattage. Mais lorsque la gestion faisait appel, selon accord avec le client, aux produits dérivés à effet de levier, permettant de faire tourner un portefeuille dix à vingt fois sa valeur sous-jacente, on ne pouvait pas conclure à du barattage, la fréquence des opérations n'étant pas le seul élément constitutif du barattage. Il convenait aussi de prendre en considération le mode de rémunération du gestionnaire. Dans le cas d'espèce, E______ avait multiplié les opérations et touché effectivement via A______ &amp; ASSOCIES un salaire directement basé sur le chiffre d'affaires généré chez D______, donnant lieu à rétrocessions à A______ &amp; ASSOCIES par catégorie d'opérations selon une formule contractuelle prédéfinie. L'absence de mandat de gestion laissait une zone d'ombre sur les modalités de gestion et de rémunération de E______. Il se pouvait que ces modalités aient été discutées de manière complète et transparente entre B______ et son gérant. Il ne semblait en tout état pas qu'il y ait eu de désaccord entre eux sur la question du contenu du futur mandat de gestion à signer. La question restait toutefois ouverte de savoir: - si le mandat de gestion que B______ était censé signer prévoyait des honoraires de gestion fixes et éventuellement des honoraires de performance et - si, le cas échéant, les rétrocessions payées par D______ au profit de A______ &amp; ASSOCIES, donnant elles-mêmes lieu à rémunération pour E______, étaient sans limite ou plafonnées. 7) Respect par E______ du code de conduite de l'Association suisse des gérants de fortune (ASG)? Pour l'expert, l'examen du code de conduite de l'ASG soulève principalement deux questions: - E______ a-t-il correctement informé B______ des risques accrus liés à la gestion centrée sur les produits dérivés à effet de levier?</w:t>
      </w:r>
    </w:p>
    <w:p>
      <w:r>
        <w:t>- 18/35 -</w:t>
      </w:r>
    </w:p>
    <w:p>
      <w:r>
        <w:t>C/1031/2012 - Les termes du mandat de gestion entre B______ et E______, fixant les règles de gestion et de rémunération, ont-ils été discutés entre eux, respectivement entre B______ et A______ &amp; ASSOCIES? Pour la première question, l'expert estime qu'au fil des nombreux emails échangés, E______ a fréquemment communiqué avec B______ sur l'exercice de sa gestion du compte au quotidien. Dans le cadre de son rapport d'audit sur l'informatique de F______, E______ s'est livré à une explication détaillée de l'ensemble des marchés de produits dérivés et des caractéristiques spécifiques de ces produits, en particulier l'effet de levier qui leur est inhérent. S'il avait su séduire B______ en présentant le potentiel de gain associé avec ce type de placement, ce dernier ne devait pas non plus ignorer les risques encourus. Après l'expérience vécue avec F______, B______ avait confirmé sa confiance dans la gestion de E______ en ouvrant le compte chez D______, étant rappelé que les conditions générales de la banque, qu'il avait alors signées, mentionnaient avec clarté l'étendue des risques assumés par le client, pouvant aller jusqu'à la perte totale du capital selon les opérations. Pour la seconde question, ni A______ &amp; ASSOCIES, ni E______ n'auraient dû accepter d'initier les opérations d'investissement avant d'avoir un mandat de gestion signé. Ils étaient à cet égard en porte-à-faux par rapport aux prescriptions du code de conduite de l'ASG. 8) Causes des pertes subies sur le portefeuille de B______ (rapport d'expertise, p. 15-18). Sur les 1'887'368 fr. de perte totale sur le portefeuille, représentant 46% de la valeur de celui-ci, 1'245'548 fr. proviennent de pertes sur le trading de produits dérivés, dont: - Futures: 1'009'678 fr. - CFD: 23'391 fr. - FOREX: 212'479 fr. Une partie des pertes s'explique par les pertes réalisées sur les ventes d'action entre septembre et décembre 2008, et la perte non réalisée au 9 janvier 2009. La bourse de valeurs mobilières, mais aussi les autres classes d'actifs, ont traversé une crise catastrophique en 2008. Entre fin août 2008 et le 9 janvier 2009, les marchés d'actions ont chuté de manière spectaculaire (- 30.6% pour O______ 500 (USA); - 21,3% SMI (Suisse); - 25,5% DAX (Allemagne) et – 26,4% CAC (France). Comme d'autres opérateurs professionnels sur les marchés à cette époque, E______ n'avait certainement pas perçu l'ampleur du krach qui se déroulait. Travaillant comme un forcené en multipliant les opérations sur des intervalles courts, se dispersant en outre sur un grand nombre de produits en parallèle, il avait perdu la vision d'ensemble qui lui aurait peut-être permis de tirer parti de cette tendance baissière. C. Des informations données par D______ au client (rapport d'expertise, p. 18) Au travers du service en ligne de D______, les clients avaient accès aux principales informations suivantes: - Résumé des liquidités et positions du portefeuille (global et par monnaie) avec mise à jour continue en temps réel. Détail des gains et pertes par position ouverte par rapport aux cours d'achat.</w:t>
      </w:r>
    </w:p>
    <w:p>
      <w:r>
        <w:t>- 19/35 -</w:t>
      </w:r>
    </w:p>
    <w:p>
      <w:r>
        <w:t>C/1031/2012 - Comptes courants par monnaie, sur n'importe quelle période au choix, jusqu'à 10 ans en arrière; - Valorisation du portefeuille aux cours de clôture à n'importe quelle date journalière, avec la faculté de remonter dans le passé jusqu'à 10 ans en arrière. Etat des produits dérivés par catégorie (futures, CFD, FOREX etc) avec les frais chargés et les gains/pertes réalisés sur une période donnée. - Journal complet des transactions, avec le détail relatif à chacune d'elles par simple clic (correspond à l'avis bancaire classique). Faculté de remonter dans le passé jusqu'à 10 ans en arrière. Les informations mises en ligne sur la plateforme de D______ correspondaient pour l'essentiel à celles contenues dans les relevés d'autres banques suisses. D______ se concentrait sur les informations utiles à la gestion en faisant l'impasse sur les informations statistiques telles que les répartitions par devise, secteur économique, etc, habituellement incluses dans les relevés des grandes banques suisses. En revanche, D______ allait plus loin que d'autres banques dans l'accès immédiat aux comptes courants et valorisations historiques. Toutes les informations utiles d'une part aux actes de gestion et de trading, d'autre part à l'estimation actuelle et historique d'un compte, figuraient dans le service en ligne de D______. En tant que banque qui fournissait un service en ligne (et rien d'autre), dans le but principal de permettre aux clients de pouvoir y effectuer des transactions, D______ offrait toutes les informations usuellement accessibles en ligne dans la branche. 5) Profil client / investisseur visé par les informations en ligne de D______ (rapport d'expertise, p. 19). Ces informations pures et les outils de gestion accessibles sur le service en ligne de D______, s'adressaient au client "trader" amateur ou professionnel, donc au client qui passait ses propres ordres de bourse sous sa seule responsabilité. Elles étaient compréhensibles mais pouvaient nécessiter un temps d'apprentissage pour pouvoir bien les maîtriser. Il n'y avait toutefois pas de grosse difficulté à comprendre les informations, si l'on cherchait simplement à suivre l'évolution de son portefeuille lorsqu'il était géré par un mandataire, tel que cela avait été en l'espèce. Si on voulait aller plus loin, notamment dans le but de se livrer à des opérations de trading soi-même, plus particulièrement sur les produits dérivés, une formation se serait avérée utile et nécessaire suivant les personnes, étant précisé que D______ organisait des séminaires ouverts à tous, pour enseigner la bonne compréhension des instruments financiers et pour maîtriser le système de trading online mis à disposition des clients. 6-7) Méthode de valorisation utilisée par D______ (rapport d'expertise, p. 20). Toutes les positions de titres étaient valorisées sur le principe "mark to market" en temps réel, à savoir que les valeurs étaient mises à jour au dernier prix connu, même en cours de journée de marché. Cette méthode de valorisation permettait au client d'avoir une vision complète et claire de son portefeuille, non seulement dans sa situation actuelle, mais encore dans son évolution historique. D. Autres observations 1) Différence dans le calcul des pertes subies par B______</w:t>
      </w:r>
    </w:p>
    <w:p>
      <w:r>
        <w:t>- 20/35 -</w:t>
      </w:r>
    </w:p>
    <w:p>
      <w:r>
        <w:t>C/1031/2012 Selon D______ (cf courrier 9 juin 2011), la perte totale, entre le 11 août 2008 et le 18 août 2009, a été de 286'39 fr. 58 étant précisé que seules les pertes sur le compte 80216/663728 (IB), soit du 6 novembre 2008 à janvier 2009, ont été prises en compte. Le calcul de D______ n'inclut pas non plus les commissions de la banque, frais de bourse et taxes. L'expert arrive pour sa part à des pertes totales de 1'887'368 fr., incluant l'ensemble des commissions et autres frais perçus par la banque. 2) Mandat de gestion discrétionnaire: exclusion de responsabilité du gérant pour les pertes L'expert, tout en rappelant qu'aucun mandat de gestion discrétionnaire formel n'avait été signé entre B______ et A______, a relevé que de tels mandats contiennent généralement une clause d'exclusion de responsabilité pour les pertes éventuelles encourues, à condition toutefois que les opérations effectuées par le gérant s'inscrivent dans les limites des actes de gestion prévus par le mandat. En l'occurrence, les pertes subies reflétaient les aléas du marché, les risques liés à ce type de gestion et le savoir-faire du gérant. En contrepartie, le client était en droit de résilier le mandat accordé au gérant à n'importe quel moment avec effet immédiat. 4) Rétrocessions de D______ à A______ &amp; ASSOCIES Se référant au courrier de D______ du 17 juin 2011 à Me C______, l'expert relève que les rétrocessions versées à A______ en relation avec le compte de B______ ont totalisé 104'780,96 euros (soit 160'241 fr. 52) sur la période du 6 novembre 2008 au 9 janvier 2009. Durant cette période, la taille moyenne du compte "IB" était de 2'634'251 fr., de sorte que les rétrocessions payées à A______ ont représenté 6,1% de la fortune moyenne du compte sur la période considérée. Sur la base de capital constant, une telle rémunération s'extrapole à plus de 36% de la fortune du compte pour une année entière. Certes, l'activité de trading telle que pratiquée par E______ avait engendré une charge de travail extrêmement lourde, qui pouvait justifier de dépasser les tarifs usuels de la profession (1% à 1.5% annuels selon le code de conduite de l'ASG); cependant on ne pouvait justifier de payer plus de 5% par an sur le capital, hors commission de performance, à moins que le client ne l'ait expressément compris et accepté. 5) Contrôle des activités de trading chez D______ et A______ &amp; ASSOCIES D______ proposait aux clients une simple plateforme de trading, et dès lors n'assume aucun risque pour les opérations effectuées par ceux-ci. Les clients étaient clairement mis en garde quant aux risques encourus dans le trading de produits dérivés à effet de levier. Tous signaient les conditions générales qui incluent une décharge sans ambiguïté à ce sujet. Il n'y avait donc pas de contrôle des opérations des clients chez D______, hormis le respect des règles de trading propres aux différents produits et aux limites de marge qui pouvaient s'appliquer. A______ &amp; ASSOCIES était une société de gestion classique avec une culture d'entreprise traditionnelle, marquée par le rapport de confiance avec le client dans le cadre de relations de longue durée. Cela étant, le contrôle des opérations de trading était une affaire compliquée, le contrôle a priori est impossible, tout se passant au téléphone ou dans un système online. De l'avis de l'expert, on ne pouvait se contenter, dans le domaine du trading sur produits à effet de levier, d'un contrôle mensuel, trimestriel, ou pis</w:t>
      </w:r>
    </w:p>
    <w:p>
      <w:r>
        <w:t>- 21/35 -</w:t>
      </w:r>
    </w:p>
    <w:p>
      <w:r>
        <w:t>C/1031/2012 encore annuel. La fréquence de la supervision devait au moins être hebdomadaire. En réalité, E______ venait à peine d'être engagé comme chef de l'unité de trading nouvellement créée à Genève. Le patron de l'entreprise était basé au Luxembourg. Même avec des procédures strictes et rôdées en place, il allait falloir un certain temps pour analyser les performances de E______, le cas échéant prendre des mesures correctives, voire brider son activité ou la mettre sous tutelle. Or l'activité de ce dernier sur le compte de B______ chez D______, en tant qu'employé de A______ &amp; ASSOCIES, n'avait duré guère plus de deux mois. Il n'était dès lors pas du tout certain que les pertes sur le portefeuille de B______ auraient pu être réduites sur ce court espace de temps par l'application de mesures de contrôle plus coercitives chez A______ &amp; ASSOCIES. Enfin, il ne fallait pas oublier qu'en parallèle, les marchés mondiaux avaient traversé la pire crise des temps moderne. La direction de A______ &amp; ASSOCIES, à l'instar de toutes les banques et sociétés de gestion à cette époque précise, avaient certainement eu du fil à retordre en relation avec les pertes probables encourues sur cette période par l'ensemble de sa clientèle. Le cas de B______, si exceptionnelles que furent les pertes subies sur un temps très court, ne devait pas constituer un cas isolé pour autant. f. Par ordonnance du 6 avril 2018, le Tribunal a refusé d'ordonner un complément d'expertise tel que requis par B______, lequel entendait que l'expert se détermine "allégué par allégué" sur les termes de ses déterminations du 28 avril 2017. g. L'expert a au surplus donné les précisions suivantes lors de son audition : - Le portefeuille de B______ avait en permanence subi des pertes qui reflétaient non seulement la "perspicacité" du gérant mais aussi les aléas du marché et les risques liés au type de gestion. E______ avait manqué de perspicacité, ce qui tenait notamment à sa personnalité, à savoir qu'il était très positif sur les marchés et pensait toujours que ceux-ci allaient remonter. Il ne profitait pas du tout des tendances baissières. Avec un autre type de personnalité, il aurait pu appréhender ces baisses différemment et même gagner de l'argent. Toutefois, E______ n'avait pas vraiment le choix de modifier son mode d'investissement. Si on choisissait de vendre des titres qui subissaient des pertes, cela équivalait à concrétiser et figer la perte en question. Si les titres étaient conservés, il existait une possibilité que leur valeur remonte. - Il fallait rappeler qu'au cours de l'été et automne 2008, il y avait eu une profonde crise économique entraînant des pertes pour de nombreux fonds. - E______ était un trader à haute fréquence, il achetait et revendait des titres de manière très rapide. En l'occurrence, de nombreux titres avaient été vendus sans que cela ne soit forcément avec des pertes. Les liquidités qui en étaient tirées servaient toutefois de garantie pour le trading qu'il effectuait. Par exemple, si B______ avait gardé les titres que son père lui avait donnés par avance d'hoirie, ceux-ci lui auraient rapporté à fin 2009 ou en 2010 des</w:t>
      </w:r>
    </w:p>
    <w:p>
      <w:r>
        <w:t>- 22/35 -</w:t>
      </w:r>
    </w:p>
    <w:p>
      <w:r>
        <w:t>C/1031/2012 montants importants puisqu'ils avaient repris de la valeur. En revanche, en vendant les actions en question, E______ avait évité qu'elles ne perdent trop de valeur mais les liquidités en découlant lui avaient servi à assurer son activité de trading qui n'avait en définitive entraîné que des pertes. - Le contrepoids au pouvoir donné au trader d'agir sur les avoirs du client était la possibilité pour ce dernier de résilier le mandat donné au trader de manière immédiate. Il était évident que E______ avait vendu à B______ l'opinion selon laquelle il était plus intéressant de faire du trading sur des produits dérivés que de la gestion de fortune "traditionnelle". Sa personnalité extrême avait évidemment joué un rôle dans les modalités de gestion du compte. Il n'aurait cela étant probablement pas obtenu la gestion des avoirs de B______ s'il lui avait proposé une gestion "traditionnelle". Le type de gestion effectué par E______ chez D______ était en continuité avec celle effectuée chez F______. Le fait que E______ ait convaincu B______ d'ouvrir un compte chez D______ attestait de ce que ce dernier savait et voulait le type de gestion pratiquée par E______. - La responsabilité pour les pertes était nuancée en ce sens que, d'une part, B______ avait pris des risques en confiant plus de 4 millions à E______ pour faire des opérations de trading et que, d'autre part, celui-ci avait continuellement commis des erreurs de gestion. Il multipliait les petits gains sur de petites opérations. Comme enhardi par ces gains, il investissait soudain un montant important et l'opération se soldait par une perte. Il se comportait un peu comme un joueur de casino. - Entre septembre 2008 et octobre 2008 (période durant laquelle il n'était pas encore employé chez A______ &amp; ASSOCIES) il avait pratiqué à peu près le même nombre d'opérations que de novembre à mars 2009 (durée de son contrat de travail chez A______ &amp; ASSOCIES). En revanche, le seul fait qu'il ait multiplié les opérations ne suffisait pas à conclure à du barattage. Le gros volume de transactions dont il avait profité s'expliquait davantage par sa personnalité, soit de penser de manière positive que le système qu'il pratiquait serait finalement dans l'intérêt du client, et le mode de rémunération par A______ &amp; ASSOCIES qui l'encourageait à multiplier les opérations. En effet, lorsque les avoirs de B______ étaient placés chez F______, il semblait que le trader ait été rémunéré de la main à la main. Lorsque les avoirs avaient été transférés chez D______, E______ n'avait dans un premier temps pas été rémunéré entre août et octobre 2008. Il n'avait perçu un salaire que suite à son engagement chez A______ &amp; ASSOCIES, soit dès novembre 2008 et ce jusqu'à mars 2009. Les commissions que E______ générait auprès de D______ – liées au nombre de transaction qu'il effectuait sur les comptes clients – étaient rétrocédées à</w:t>
      </w:r>
    </w:p>
    <w:p>
      <w:r>
        <w:t>- 23/35 -</w:t>
      </w:r>
    </w:p>
    <w:p>
      <w:r>
        <w:t>C/1031/2012 A______ &amp; ASSOCIES, qui versait ensuite son salaire à E______, calculé en fonction desdites commissions. h. A l'issue de l'audition de l'expert, B______ a sollicité un complément au rapport d'expertise en lien avec la perte de 283'643 fr. pour la période du 1er au 6 novembre 208 et avec le montant des frais bancaires et commissions prélevés par D______ durant la période concernée. Par ordonnance du 14 janvier 2019, le Tribunal a rejeté cette requête, le rapport d'expertise du 28 février 2018, complété par les explications données par l'expert au cours de son audition, répondant de manière adéquate aux exigences posées par l'arrêt de la Cour de justice du 12 février 2016. i. Le 19 février 2019, B______ a sollicité la reconsidération de l'ordonnance précitée et requis une contre-expertise. Par ordonnance du 9 mai 2019, le Tribunal a confirmé les termes de son ordonnance du 14 janvier 2019 et ordonné les plaidoiries finales. Par arrêt ACJC/1519/2019 du 15 octobre 2019, la Cour de justice a déclaré irrecevable le recours interjeté par B______ contre cette ordonnance. j. Lors de l'audience du Tribunal du 26 août 2019, les conseils des parties ont plaidé et celles-ci ont persisté dans leurs conclusions respectives. La cause a été gardée à juger par le Tribunal à l'issue de l'audience. EN DROIT 1. 1.1 L'appel est recevable contre les décisions finales de première instance, dans les causes non patrimoniales ou dont la valeur litigieuse, au dernier état des conclusions devant l'autorité inférieure, est supérieure à 10'000 fr. (art. 308 al. 1 let. a et al. 2 CPC). En ce qui concerne la motivation, l'appelant a le fardeau d'expliquer les motifs pour lesquels le jugement attaqué doit être annulé et modifié. Un simple renvoi aux écritures et pièces de première instance n'est pas conforme à l'exigence de motivation. L'instance supérieure doit pouvoir comprendre ce qui est reproché au premier juge, sans avoir à chercher des griefs par elle-même (arrêt du Tribunal fédéral 5A_488/2015 du 21 août 2015 consid. 3.2.1; JEANDIN, Commentaire romand, n. 3 ad art. 311 CPC). La valeur litigieuse étant, en l'espèce, supérieure à 10'000 fr., l'appel, motivé et formé par écrit dans un délai de trente jours à compter de la notification de la décision attaquée, est recevable, contrairement à ce que fait valoir l'intimé (art. 311 al. 1 CPC). En effet, même si le raisonnement suivi par l'appelante n'est pas limpide, les griefs formulés sont compréhensibles.</w:t>
      </w:r>
    </w:p>
    <w:p>
      <w:r>
        <w:t>- 24/35 -</w:t>
      </w:r>
    </w:p>
    <w:p>
      <w:r>
        <w:t>C/1031/2012 Il ne sera toutefois pas tenu compte des simples renvois aux écritures de première instance contenus dans les écritures de l'appelante, cette manière de procéder ne répondant pas aux exigences de motivation de l'art. 311 CPC. 1.2 L'appel joint, interjeté dans le délai et selon la forme prescrits par la loi (art. 312 al. 2 et 313 al. 1 CPC), est également recevable (art. 313 CPC). Par souci de simplification, et pour respecter le rôle initial des parties en appel A______ &amp; ASSOCIES sera désignée ci-après comme appelante et B______ comme intimé. 1.3 La Cour revoit la cause avec un plein pouvoir d’examen (art. 310 CPC). Elle applique la maxime des débats et le principe de disposition (art. 55 al. 1 et 58 al. 1 CPC). 1.4 Ni l'appelante ni l'intimé ne se sont opposés à ce qu'il soit dit que D______ n'est pas partie à la procédure d'appel. Dans la mesure où le jugement querellé est devenu définitif en ce qui la concerne, il sera dès lors constaté qu'elle n'est pas partie à la procédure d'appel. 2. Le Tribunal a retenu que l'appelante était tenue de restituer à l'intimé les commissions que E______ générait auprès de D______ car elle n'avait pas établi que l'intimé avait accepté de renoncer à la restitution des commissions en question en ayant connaissance de leur montant. Le seul fait que l'intimé ait un accès en ligne à ses comptes ne permettait pas de retenir qu'il était informé du montant des rétrocessions et qu'il les avait acceptées. En tout état de cause, le système informatique de D______ ne permettait pas de connaître comment étaient ventilées les commissions débitées sur le compte entre les différents acteurs des opérations de trading, au nombre desquels comptait l'appelante. A cela s'ajoutait que le montant des rétrocessions excédait largement les taux usuels selon l'expert.</w:t>
      </w:r>
    </w:p>
    <w:p>
      <w:r>
        <w:t>L'appelante fait valoir que les faits se sont déroulés en 2008 de sorte que l'ATF 137 III 393 du 29 août 2011 précisant les exigences pour admettre une renonciation du mandant à la restitution n'est pas applicable. L'intimé savait que E______ allait toucher des commissions de la part de D______ puisque c'était précisément la raison pour laquelle il avait eu besoin d'être engagé par l'appelante. Les parties étaient liées par un contrat oral de gestion de fortune. L'accès en ligne de l'intimé à ses comptes lui permettait de connaître le montant des rétrocessions. Celles-ci étaient prélevées par D______ sur ses propres revenus, de sorte qu'elles n'entamaient pas la fortune de l'intimé. L'appréciation de l'expert selon laquelle le montant des rétrocessions était excessif n'était pas convaincante. Le code de l'ASG ne s'appliquait pas lorsque le mandat de gestion portait sur des dérivés. L'annualisation par l'expert du montant des rétrocessions était critiquable "dès lors que quantité de paramètres" étaient "inconnus, et la durée du mandat incertaine".</w:t>
      </w:r>
    </w:p>
    <w:p>
      <w:r>
        <w:t>- 25/35 -</w:t>
      </w:r>
    </w:p>
    <w:p>
      <w:r>
        <w:t>C/1031/2012 2.1.1 Les règles du mandat sont applicables au contrat de gestion de fortune conclu entre les parties. Selon l'art. 400 al. 1 CO, le mandataire est tenu, à la demande du mandant, de lui rendre en tout temps compte de sa gestion et de lui restituer tout ce qu'il a reçu de ce chef, à quelque titre que ce soit. L'obligation de restitution couvre non seulement les valeurs patrimoniales que le mandataire a lui- même reçues du mandant dans le cadre de l'exécution du mandat, mais également ce qu'il a reçu de tiers, soit comme résultat direct de l'exécution du mandat (mandat d'encaissement), soit indirectement, dans le cadre de l'accomplissement du mandat. Les rétrocessions et les ristournes appartiennent à cette dernière catégorie; elles désignent (notamment) les paiements que le gérant de fortune reçoit en vertu d'un accord avec la banque dépositaire et qui sont prélevés sur les frais de transaction encaissés par la banque (ATF 137 III 393 consid. 2.1 p. 395 s.; TERCIER/BIERI/CARRON, Les contrats spéciaux, 2016, n. 4493 p. 641). Le devoir de restituer de l'art. 400 al. 1 CO est de nature dispositive. Une renonciation par le mandant n'est toutefois valable que s'il a reçu une information complète et véridique sur les rétrocessions attendues et si sa volonté de renoncer à la restitution de celles-ci résulte expressément de l'accord passé avec le mandataire (ATF 137 III 393 consid. 2.2 p. 396; 132 III 460 consid. 4.2 p. 465 s. et les références citées). Pour qu'une renonciation anticipée à la restitution soit valable, il faut que le mandant connaisse les paramètres qui permettent de calculer le montant global des rétrocessions et rendent possible une comparaison avec les honoraires convenus pour la gestion de fortune (ATF 137 III 393 consid. 2.4). En cas de renonciation anticipée, il n'est pas possible de donner des chiffres exacts, parce que le montant global de la fortune gérée se modifie constamment et que le nombre exact, respectivement le volume des transactions à effectuer est inconnu au moment de la renonciation. Pour que le mandant puisse saisir l'ampleur des rétrocessions escomptées et les mettre en opposition avec les honoraires convenus, il doit connaître au moins les valeurs déterminantes des conventions de rétrocession passées avec des tiers ainsi que l'ordre de grandeur des restitutions escomptées. Cette dernière exigence est satisfaite, en cas de renonciation anticipée, lorsque le montant des rétrocessions escomptées est indiqué, dans une fourchette déterminée, en pourcentage de la fortune gérée. La mise en relation de ces deux éléments permet au mandant de comprendre, en vue d'une renonciation, l'ensemble des coûts de la gestion de fortune et de reconnaître les conflits d'intérêts pouvant se présenter pour le gérant de fortune en raison des structures d'incitation (ATF 137 III 393 consid. 2.4). Autrement dit, il faut que le mandant qui renonce puisse comparer à combien se montent ces rétrocessions par rapport aux honoraires de gestion de fortune convenus, de façon à savoir combien finalement sa mandataire perçoit. Il faut donc que les rétrocessions escomptées soient indiquées, dans une fourchette</w:t>
      </w:r>
    </w:p>
    <w:p>
      <w:r>
        <w:t>- 26/35 -</w:t>
      </w:r>
    </w:p>
    <w:p>
      <w:r>
        <w:t>C/1031/2012 déterminée, en pourcentage de la fortune gérée (arrêt du Tribunal fédéral 4A_355/2019 du 13 mai 2020 consid. 3.1). Il incombe au mandataire qui veut opposer au mandant sa renonciation à la restitution des rétrocessions d'apporter la preuve que celui-ci disposait d'une information suffisante pour que sa renonciation ait été faite en connaissance de cause (ATF 137 III 393 consid. 2.5, JdT 2012 II 168). 2.1.2 Une nouvelle jurisprudence doit s'appliquer immédiatement, y compris aux affaires pendantes au moment où elle est adoptée et aux faits survenus avant que ce changement ne soit connu des justiciables. Une modification de la jurisprudence ne contrevient pas à la sécurité du droit, aux principes de la bonne foi, de la confiance et de l'interdiction de l'arbitraire lorsqu'elle s'appuie sur des raisons objectives, telles qu'une connaissance plus exacte ou complète de l'intention du législateur, la modification des circonstances extérieures, un changement de conception juridique ou l'évolution des mœurs (ATF 130 V 492 consid. 4.1; 122 I 57 consid. 3c/aa ; 122 V 320 consid. 5; 117 II 452 consid. 3a, JdT 1992 I 582, SJ 1992, 118; arrêt du Tribunal fédéral 4C.9/2005 du 24 mars 2005 consid. 3.2; 5A_347/2019 du 9 avril 2020 consid. 3.3.3).</w:t>
      </w:r>
    </w:p>
    <w:p>
      <w:r>
        <w:t>2.2 En l'espèce, le déroulement des faits en 2008 ne fait pas obstacle à l'application de la jurisprudence du Tribunal fédéral concernant le remboursement des rétrocessions rendue postérieurement à 2008, conformément aux principes juridiques précités.</w:t>
      </w:r>
    </w:p>
    <w:p>
      <w:r>
        <w:t>En tout état de cause, l'exigence de la restitution au mandant des rétrocessions touchées par le gérant de fortune par la banque dépositaire résulte de l'art. 400 CO. Dans l'arrêt 132 III 460, rendu le 22 mars 2006, le Tribunal fédéral avait déjà posé comme principe que le mandant ne pouvait renoncer valablement à la restitution des sommes en questions, lesquelles représentaient alors pour le gérant une rémunération supplémentaire, qu'à condition qu'il soit informé de manière complète et exacte sur ces rétrocessions et qu'il manifeste sans équivoque la volonté d'y renoncer.</w:t>
      </w:r>
    </w:p>
    <w:p>
      <w:r>
        <w:t>L'intimée n'a pas démontré que les conditions posées par la jurisprudence pour admettre que l'intimé avait valablement renoncé au remboursement des rétrocessions étaient réalisées. Aucune déclaration expresse de renonciation signée par l'intimé ne figure au dossier. Le simple fait que l'intimé savait que des rétrocessions seraient versées et qu'il ne s'y est pas opposé au moment des faits n'est pas suffisant pour conclure à l'existence d'un accord sur la renonciation, puisque la renonciation doit être expresse.</w:t>
      </w:r>
    </w:p>
    <w:p>
      <w:r>
        <w:t>- 27/35 -</w:t>
      </w:r>
    </w:p>
    <w:p>
      <w:r>
        <w:t>C/1031/2012 A cela s'ajoute que l'appelante n'a pas établi que l'intimé connaissait le montant global des rétrocessions. Comme l'a relevé à juste titre le Tribunal, le simple fait qu'il ait eu la possibilité d'accéder en ligne à ses comptes n'est pas suffisant, puisque, selon les déclarations faites devant le Tribunal par le directeur de D______, le système ne lui permettait pas de connaître comment étaient ventilées les commissions débitées sur le compte entre les différents intervenants lors des opérations de trading. L'intimé ne pouvait de plus pas comparer le montant des rétrocessions avec les honoraires convenus pour la gestion de fortune puisque montant de ceux-ci ne ressort pas de la procédure. Il résulte de ce qui précède que l'intimé n'a pas valablement renoncé à la restitution des rétrocessions perçues par l'appelante de la part de D______. Il importe peu à cet égard que les rétrocessions aient été prélevées sur les propres revenus de D______, sans entamer la fortune de l'intimé. La question de savoir si c'est à juste titre ou non que l'expert a retenu que le montant des rétrocessions était excessif est également dénué de pertinence. C'est par conséquent à juste titre que le Tribunal a condamné l'appelante à restituer à l'intimé les rétrocessions qu'elle a touché de la part de D______. Le montant de celles-ci n'étant pas contesté, le jugement querellé sera confirmé sur ce point. 3. Le Tribunal a retenu que l'appelante ne s'était pas éloignée des instructions de l'intimé en procédant, par l'intermédiaire de E______, à une politique de placement sur produits dérivés, laquelle comportait une part importante de risque. En effet, l'intimé souhaitait une politique d'investissement agressive et risquée. Il connaissait les mécanismes du marché financier et les potentiels de gains et de risques liés à une gestion de ce type, qu'il pratiquait par l'intermédiaire de E______ depuis plusieurs mois. Rien ne permettait en outre de retenir que le portefeuille de l'intimé aurait connu une évolution plus positive avec une gestion différente. Pendant la période considérée, les bourses avaient massivement chuté en raison de la crise et il n'était pas établi que les pertes alléguées par l'intimé étaient dues au mode de gestion de l'appelante et non au contexte économique.</w:t>
      </w:r>
    </w:p>
    <w:p>
      <w:r>
        <w:t>L'intimé requiert de la Cour qu'elle ordonne une contre-expertise, faisant valoir que le rapport de l'expert contient des "imprécisions, contradictions et lacunes" : l'expert avait analysé à tort le caractère de E______, n'avait pas identifié clairement la cause des pertes ni répondu clairement à la question de savoir si E______ s'était rendu coupables de barattage. Sur le fond, l'intimé fait valoir, pour la première fois devant la Cour, que E______ s'est rendu coupable de gestion déloyale au sens de l'art. 158 ch. 1 CP. L'appelante était responsable du dommage que son employé lui avait causé par ses actes illicites</w:t>
      </w:r>
    </w:p>
    <w:p>
      <w:r>
        <w:t>- 28/35 -</w:t>
      </w:r>
    </w:p>
    <w:p>
      <w:r>
        <w:t>C/1031/2012 3.1.1 A teneur de l'art. 188 al. 2 CPC, le tribunal peut, à la demande d'une partie ou d'office, faire compléter ou expliquer un rapport d'expertise lacunaire, peu clair ou insuffisamment motivé, ou faire appel à un autre expert. Le juge apprécie librement la force probante d'une expertise. Dans le domaine des connaissances professionnelles particulières, il ne peut toutefois s'écarter des conclusions de l'expert que pour des motifs importants qu'il lui incombe d'indiquer, par exemple lorsque le rapport d'expertise présente des contradictions ou attribue un sens ou une portée inexacts aux documents et déclarations auxquels il se réfère. Il appartient dès lors au juge d'examiner, au regard des autres preuves et des observations des parties, si des objections sérieuses viennent ébranler le caractère concluant de l'expertise. Lorsque les conclusions de l'expertise judiciaire se révèlent douteuses sur des points essentiels, le juge est tenu de recueillir des preuves complémentaires pour dissiper ses doutes, notamment par un complément d'expertise ou une nouvelle expertise (ATF 138 III 193 consid. 4.3.1, 136 II 539 consid. 3.2; arrêts du Tribunal fédéral 4A_396/2015 du 9 février 2016 consid. 4.1; 5A_859/2014 du 17 mars 2015 consid. 4.1.3.2; BOVEY, Le juge face à l'expert, in: La preuve en droit de la responsabilité civile, 2011, p. 111-112 et les références citées). Ce n'est que si le rapport présente des lacunes grossières que l'expert en cause n'est manifestement pas en mesure de combler, ou lorsqu'il se révèle que l'expert ne disposait pas des garanties suffisantes d'indépendance et d'impartialité qu'une nouvelle expertise (contre-expertise ou surexpertise) sera ordonnée (BOVEY, op. cit., p. 112 et les références citées; VOUILLOZ, Commentaire romand, n. 10 ad art. 188 CPC). 3.1.2 Selon l'art. 158 al. 1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Le comportement délictueux de l'art. 158 CP consiste en la violation du devoir de gestion ou de sauvegarde des intérêts pécuniaires d’autrui spécifique à l’auteur en sa qualité de gérant. Il ne s’agit pas d’une transgression de n’importe quelle obligation de nature pécuniaire à l’égard de la personne dont il doit administrer le patrimoine. Le devoir violé doit être lié à la gestion qui est confiée au gérant. Le comportement du gérant est infidèle à ses devoirs et constitue en quelque sorte une trahison. (SCHEIDEGGER/VON WURSTEMBERGER, Commentaire romand, n. 44 ad art. 158 CP). Il convient donc au préalable et pour chaque situation de déterminer la nature et le contenu des devoirs qui incombent au gérant. Cet examen s’effectue au cas par</w:t>
      </w:r>
    </w:p>
    <w:p>
      <w:r>
        <w:t>- 29/35 -</w:t>
      </w:r>
    </w:p>
    <w:p>
      <w:r>
        <w:t>C/1031/2012 cas sur la base des dispositions légales et contractuelles de la branche. Lors de l’analyse de l’éventuelle transgression des devoirs, il est important de tenir compte des risques admissibles inhérents à la gestion même. Il s’agit d’éviter à celui qui s’occupe de la gestion d’intérêts pécuniaires pour un tiers de risquer une sanction pénale du seul fait que sa gestion s’avère déficitaire. Le monde des affaires conduit ses acteurs à parfois conclure des opérations à risque. Le législateur n’a pas voulu réprimer n’importe quelle opération à risque. Cela est également valable lorsque le comportement du gérant provoque ultérieurement un dommage. Dans chaque cas concret, le comportement du gérant sera apprécié ex ante pour évaluer si le risque pris était admissible notamment en l’évaluant au regard du comportement d’un gérant averti ou si le risque entrepris était conforme à un accord ou aux instructions du titulaire du patrimoine. La plus grande difficulté consiste donc à distinguer le gérant qui a violé un devoir inhérent à sa position de celui qui a pris une décision inopportune. (SCHEIDEGGER/VON WURSTEMBERGER, op. cit., n. 45-46, ad art. 158 CP). Selon la jurisprudence, le comportement délictueux est par exemple réalisé lorsqu'un gérant de fortune pratique le « churning » ou « barattage » en multipliant des mouvements inutiles dans le portefeuille de son client en vue de fonder des commissions ou se lance massivement et délibérément dans des opérations sur produits financiers à haut risque alors que les clients acceptent les placements spéculatifs dans une mesure limitée (SCHEIDEGGER/VON WURSTEMBERGER, op. cit., n. 48 ad art. 158 CP). Pour que la gestion déloyale soit consommée, il faut un préjudice patrimonial. Seul le préjudice causé aux intérêts pécuniaires sur lesquels le gérant a un devoir de gestion ou de surveillance peut être pris en considération. L’infraction est donc consommée lorsque le gérant a violé son devoir de gérer ou de veiller sur les intérêts pécuniaires d’autrui et a ainsi causé un dommage au patrimoine qu’il devait administrer. La notion de dommage doit être comprise comme pour les autres infractions contre le patrimoine. Il s’agit de la perte éprouvée (soit une diminution de l’actif ou une augmentation du passif) ou du gain manqué (soit une non-diminution du passif ou une non-augmentation de l’actif (SCHEIDEGGER/VON WURSTEMBERGER, op. cit., n. 53-55 ad art. 158 CP). L'infraction de gestion déloyale est une infraction intentionnelle. L'intention doit porter sur tous les éléments constitutifs. L’auteur doit avoir conscience et volonté, en sa qualité de gérant, de violer un devoir lié à la gestion ou la sauvegarde des intérêts pécuniaires qu’il administre et de porter ainsi préjudice auxdits intérêts ou permettre qu’ils soient lésés. Le gérant par un comportement déloyal provoque donc intentionnellement un préjudice ou omet d’éviter que celui-ci ne se réalise. Le dol éventuel est suffisant. Toutefois, en raison de l’imprécision des éléments constitutifs de l’infraction, la jurisprudence se montre restrictive. Le dol éventuel doit donc être strictement caractérisé afin qu’il ne puisse se confondre avec la</w:t>
      </w:r>
    </w:p>
    <w:p>
      <w:r>
        <w:t>- 30/35 -</w:t>
      </w:r>
    </w:p>
    <w:p>
      <w:r>
        <w:t>C/1031/2012 négligence consciente. Le gérant a sérieusement escompté que le résultat pouvait se produire et s’en accommode au cas où il se produirait. La probabilité du résultat s’impose de manière telle au gérant que son comportement peut être interprété comme une acceptation. A la lumière du risque entrepreneurial admissible inhérent au monde des affaires, la distinction entre le dol éventuel et la négligence consciente reste ténue. Cette dernière, n’étant pas prévue aux termes de la loi, est donc exclue (SCHEIDEGGER/VON WURSTEMBERGER, op. cit., n. 65-66, ad art. 158 CP). 3.1.3 Selon l'article 55 al. 1 CO, 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3.1.4 Aux termes de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 3.2.1 En l'espèce, c'est à juste titre que le Tribunal a considéré qu'il n'y avait pas lieu d'ordonner une contre-expertise. En effet, l'intimé ne soulève aucune objection sérieuse ébranlant le caractère concluant de l'expertise, laquelle a utilement été complétée par l'audition de l'expert. Il n'y a aucune raison de penser que l'analyse de l'expert selon laquelle E______ avait manqué de perspicacité est inexacte. Contrairement à ce que fait valoir l'intimé, l'expert a expliqué en détails les causes des pertes au chiffre 8 p. 16 ss de son expertise. Il a précisé lors de son audition que celles-ci étaient causés par plusieurs facteurs, dont les aléas du marché, en particulier la situation de crise prévalant en automne 2008. L'expert a également relevé, en accord avec les autres pièces du dossier, que l'intimé connaissait et voulait le type de gestion pratiquée par E______ et qu'il avait pris des risques en confiant plus de 4 millions à ce dernier pour faire des opérations de trading. Dans ce cadre, et afin d'analyser la stratégie de gestion de E______, il était admissible que l'expert porte une appréciation sur son profil psychologique. C'est également à tort que l'intimé fait valoir que l'expert n'a pas répondu à la question de savoir si E______ et l'appelante s'étaient rendus coupables de barattage. L'expert a au contraire souligné que la multiplication des opérations ne permettait pas in casu de conclure à du barattage dès lors qu'elle était intrinsèque à la stratégie de gestion choisie, laquelle était connue et acceptée par l'intimé.</w:t>
      </w:r>
    </w:p>
    <w:p>
      <w:r>
        <w:t>- 31/35 -</w:t>
      </w:r>
    </w:p>
    <w:p>
      <w:r>
        <w:t>C/1031/2012 L'expert a également mentionné que le mode de rémunération convenu, mais tenait en partie au type de gestion choisie et au mode de rémunération convenu (soit une part des commissions perçues pour chaque transaction) devait être pris en considération pour apprécier s'il y avait ou non barattage, mais cela ne l'a pas conduit à modifier sa première appréciation. En réalité, l'intimé reproche à l'expert de n'avoir pas confirmé sa version des faits, ce qui n'est pas un motif suffisant pour ordonner une contre-expertise. Le rapport d'expertise ne présente ainsi aucune lacune grossière qui justifierait d'ordonner une contre-expertise. Il n'est pas non plus allégué que l'expert ne disposait pas des garanties suffisantes d'indépendance et d'impartialité. Il n'y a dès lors pas lieu d'ordonner la contre-expertise requise par l'intimé. 3.2.2 L'intimé fait valoir pour la première fois devant la Cour que E______ s'est rendu coupable de gestion déloyale. Il n'établit cependant pas la réalisation de tous les éléments constitutifs de cette infraction. En particulier, l'intimé n'a jamais allégué devant le Tribunal que E______ avait agi intentionnellement, en ce sens qu'il avait conscience et volonté, en sa qualité de gérant, de violer un devoir lié à la gestion ou la sauvegarde des intérêts pécuniaires qu’il administrait et de porter ainsi préjudice auxdits intérêts ou permettre qu’ils soient lésés. L'intimé ne soutient pas que cette allégation nouvelle serait fondée sur des faits nouveaux recevables devant la Cour. En tout état de cause, aucun élément du dossier ne permet de retenir que E______ aurait, entre octobre 2008 et janvier 2009, intentionnellement enfreint ses obligations envers l'intimé, de manière à lui causer un dommage. Le cas du gestionnaire qui se lance massivement et délibérément dans des opérations sur produits financiers à haut risque alors que les clients acceptent les placements spéculatifs dans une mesure limitée, évoqué par la jurisprudence n'est en particulier pas réalisé. Il ressort en effet du dossier, en particulier des documents d'ouverture de comptes, conditions générales et procurations signés par l'intimé, que celui-ci souhaitait une politique d'investissement agressive et risquée et non une gestion conservatrice. De par sa formation en économie, son expérience dans le domaine des affaires et les indications qu'il avait pu recueillir, il convient de retenir qu'il avait compris le type de gestion qu'il avait lui-même sollicité et qu'il en connaissait les risques.</w:t>
      </w:r>
    </w:p>
    <w:p>
      <w:r>
        <w:t>- 32/35 -</w:t>
      </w:r>
    </w:p>
    <w:p>
      <w:r>
        <w:t>C/1031/2012 A cela s'ajoute qu'il était assisté par un avocat depuis mai 2008, de sorte qu'il était renseigné de manière complète sur les tenant et aboutissants des opérations menées pour son compte et qu'il les a acceptées en pleine connaissance de cause. Ce qui précède est corroboré par les constatation de l'expert qui a relevé que E______ n'aurait probablement pas obtenu la gestion des avoirs de l'intimé s'il s'était contenté de lui proposer une "gestion traditionnelle" et qu'il connaissait et voulait le type de gestion pratiquée par ce dernier. L'expert n'a par ailleurs pas retenu, s'agissant d'opérations sur produits dérivés, que du barattage puisse être reproché à E______. En tout état de cause, les montants perçus à ce titre par l'appelante devront être remis à l'intimé. Ce dernier n'a d'ailleurs pas déposé de plainte pénale à l'encontre de E______, ce qui se concilie mal avec ses affirmations tardives selon lesquelles celui-ci aurait commis une infraction de gestion déloyale à son détriment. Il résulte de ce qui précède que la gestion de E______ durant la période pendant laquelle il était employé de l'appelante a bel et bien été validée par l'intimé par l'ensemble de son comportement, de sorte qu'aucune responsabilité ne peut être mise à charge de l'appelante de ce fait. A titre superfétatoire, même à supposer que E______ ait commis des actes de gestion déloyale ayant causé un dommage à l'intimé, ce qui n'est pas établi, l'appelante ne pourrait pas en être tenue responsable en application de l'art. 55 CO. En effet, l'intimé n'a pas démontré la réalité de ses affirmations selon lesquelles l'appelante n'a pas respecté son devoir de surveiller E______, au sens de la disposition précitée. L'expert n'a pas retenu que l'appelante avait failli à son devoir de surveillance. Contrairement à ce qu'allègue l'intimé, l'appelante a pris des renseignements concernant E______ avant de l'engager. Aucun élément ne permet de retenir que l'appelante aurait dû savoir que celui-ci avait fait l'objet d'enquêtes pénales en 2003 et 2005. L'intimé l'ignorait d'ailleurs également, alors même qu'il fréquentait régulièrement E______ depuis 2007. En tout état de cause, cet élément n'était pas pertinent puisqu'aucune condamnation n'a été prononcée à l'égard de ce dernier. Enfin, il est inexact de prétendre, comme le fait l'intimé, que D______ aurait "tiré la sonnette d'alarme à raison de la frénésie d'opérations sur le compte de l'intimé". S'il est vrai que le témoin M______, employé de D______, a, à un certain moment, interpellé E______ et l'appelante sur la fréquence des opérations effectuées par le premier, il a jugé satisfaisantes les explications qui lui ont été données.</w:t>
      </w:r>
    </w:p>
    <w:p>
      <w:r>
        <w:t>- 33/35 -</w:t>
      </w:r>
    </w:p>
    <w:p>
      <w:r>
        <w:t>C/1031/2012 En tout état de cause, l'expert a relevé sur ce point que, compte tenu de la brièveté de la période d'activité de E______ pour l'appelante et du contexte de crise dans lequel celle-ci s'était déroulée, même si des mesures de contrôle plus strictes avaient été appliquées par l'appelante, cela n'aurait pas permis de procéder à une analyse plus efficace des performances de E______. Ainsi, même à supposer que des reproches puissent être faits à l'appelante concernant sa surveillance de l'activité de E______, ce qui n'est pas établi, il n'y aurait pas de lien de causalité entre ses éventuels manquements à cet égard et le dommage que l'intimé allègue avoir subi. Il résulte de ce qui précède que l'appel joint doit être rejeté. Le jugement querellé sera par conséquent entièrement confirmé. 4. Compte tenu de l'issue du litige, chacune des parties prendra à sa charge les frais afférents à son appel (art. 106 al. 1 CPC).</w:t>
      </w:r>
    </w:p>
    <w:p>
      <w:r>
        <w:t>Les frais judiciaires de l'appel principal seront arrêtés à 10'000 fr. et compensés à hauteur de ce montant avec l'avance versée par l'appelante, acquise à l'Etat de Genève (art. 17 et 35 RTFMC). Le solde en 2'000 fr. sera restitué à l'appelante.</w:t>
      </w:r>
    </w:p>
    <w:p>
      <w:r>
        <w:t>Les frais judiciaires de l'appel joint seront fixés à 27'000 fr. et compensés avec l'avance versée par l'intimé, acquise à l'Etat de Genève.</w:t>
      </w:r>
    </w:p>
    <w:p>
      <w:r>
        <w:t>Chacune des parties gardera ses propres dépens à sa charge. * * * * *</w:t>
      </w:r>
    </w:p>
    <w:p>
      <w:r>
        <w:t>- 34/35 -</w:t>
      </w:r>
    </w:p>
    <w:p>
      <w:r>
        <w:t>C/1031/2012 PAR CES MOTIFS, La Chambre civile : A la forme : Déclare recevables l'appel interjeté par A______ (SUISSE) SA et l'appel joint formé par B______ contre le jugement JTPI/4477/2020 rendu le 25 mars 2020 par le Tribunal de première instance dans la cause C/1031/2012. Constate que D______ (SUISSE) SA n'est pas partie à la présente procédure d'appel. Au fond : Confirme le jugement querellé. Déboute les parties de toutes autres conclusions. Sur les frais : Arrête à 10'000 fr. les frais judiciaires de l'appel principal et les compense à hauteur de ce montant avec l'avance versée, acquise à l'Etat de Genève. Invite les Services financiers du Pouvoir judiciaire à restituer à A______ (SUISSE) SA le solde en 2'000 fr. de l'avance versée. Arrête à 27'000 fr. les frais judiciaires de l'appel joint et les compense à hauteur de ce montant avec l'avance versée, acquise à l'Etat de Genève. Dit que chacune de parties conserve ses propres dépens à sa charge. Siégeant : Monsieur Laurent RIEBEN, président; Monsieur Patrick CHENAUX, Madame Fabienne GEISINGER-MARIETHOZ, juges; Madame Sophie MARTINEZ, greffière.</w:t>
      </w:r>
    </w:p>
    <w:p>
      <w:r>
        <w:t>- 35/35 -</w:t>
      </w:r>
    </w:p>
    <w:p>
      <w:r>
        <w:t>C/1031/2012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