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ACJC/341/2020 vom 25. Februar 2020</w:t>
      </w:r>
    </w:p>
    <w:p>
      <w:r>
        <w:t>GE Cour de justice, 2020-02-25, FR</w:t>
      </w:r>
    </w:p>
    <w:p>
      <w:r>
        <w:rPr>
          <w:b/>
        </w:rPr>
        <w:t xml:space="preserve">Quelle: </w:t>
      </w:r>
      <w:r>
        <w:t>https://mcp.opencaselaw.ch/entscheid/ge_gerichte_ACJC_341_2020</w:t>
      </w:r>
    </w:p>
    <w:p>
      <w:r>
        <w:t>FR: GE_GERICHTE ACJC/341/2020 du 25 février 2020</w:t>
      </w:r>
    </w:p>
    <w:p>
      <w:r>
        <w:t>IT: GE_GERICHTE ACJC/341/2020 del 25 febbraio 2020</w:t>
      </w:r>
    </w:p>
    <w:p>
      <w:pPr>
        <w:pStyle w:val="Heading2"/>
      </w:pPr>
      <w:r>
        <w:t>Erwägungen</w:t>
      </w:r>
    </w:p>
    <w:p>
      <w:r>
        <w:rPr>
          <w:b/>
        </w:rPr>
        <w:t>E. 1.1.1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rPr>
          <w:b/>
        </w:rPr>
        <w:t>E. 1.1.2</w:t>
      </w:r>
    </w:p>
    <w:p>
      <w:r>
        <w:t>En l'espèce, le litige porte sur la contribution à l'entretien de l'enfant mineur des parties, ainsi que sur une éventuelle contribution d'entretien post-divorce en faveur de l'appelante, soit sur une affaire patrimoniale dont la valeur litigieuse capitalisée est, compte tenu de la quotité des prétentions litigieuses en première instance, supérieure à 10'000 fr. La voie de l'appel est par conséquent ouverte.</w:t>
      </w:r>
    </w:p>
    <w:p>
      <w:r>
        <w:rPr>
          <w:b/>
        </w:rPr>
        <w:t>E. 1.2.1</w:t>
      </w:r>
    </w:p>
    <w:p>
      <w:r>
        <w:t>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4.3; ACJC/1421/2019 du</w:t>
      </w:r>
    </w:p>
    <w:p>
      <w:r>
        <w:t>- 9/23 -</w:t>
      </w:r>
    </w:p>
    <w:p>
      <w:r>
        <w:t>C/6672/2018 1er octobre 2019 consid. 1.1.1; ACJC/1762/2018 du 14 décembre 2018 consid. 6.1). Les exigences quant à la motivation de l’appel doivent aussi être observées par l’appelant dans les procédures régies par la maxime inquisitoire: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(ATF 141 III 569 consid. 2.3.3; arrêts du Tribunal fédéral 5A_573/2017 du 19 octobre 2017 consid. 3.1; 4A_651/2012 du 7 février 2013 consid. 4.3; ACJC/1421/2019 du 1er octobre 2019 consid. 1.1.1; ACJC/1762/2018 du 14 décembre 2018 consid. 6.1). L’appelant ne satisfait pas à l’exigence de motivation lorsqu’il ne critique le jugement attaqué que de manière générale. Une motivation suffisamment complète et claire suppose que l’appelant désigne précisément les considérants qu’il attaque ainsi que les pièces du dossier qui fondent sa critique (ATF 138 III 374 consid. 4.3.1; arrêts du Tribunal fédéral 5A_209/2014 du 2 septembre 2014 consid. 4.2.1; 4A_659/2011 du 7 décembre 2011 consid. 3, SJ 2012 I 232; ACJC/1421/2019 du 1er octobre 2019 consid. 1.1.1; ACJC/1762/2018 du 14 décembre 2018 consid. 6.1).</w:t>
      </w:r>
    </w:p>
    <w:p>
      <w:r>
        <w:rPr>
          <w:b/>
        </w:rPr>
        <w:t>E. 1.2.2</w:t>
      </w:r>
    </w:p>
    <w:p>
      <w:r>
        <w:t>En l'espèce, l'intimé estime que certaines parties de l'appel ne satisfont pas aux exigences de motivation rappelées ci-dessus. Il allègue que l'appelante se contente de présenter sa propre appréciation des faits, notamment s'agissant de l'établissement des charges des parties et de leur enfant. Tel n'est toutefois pas le cas. L'appelante critique en effet des passages précis du jugement et fait valoir des griefs déterminés, en relation avec la détermination des contributions d'entretien dues en faveur de l'enfant C______ et d'elle-même. Partant, son appel est recevable sous l'angle de sa motivation.</w:t>
      </w:r>
    </w:p>
    <w:p>
      <w:r>
        <w:rPr>
          <w:b/>
        </w:rPr>
        <w:t>E. 1.3</w:t>
      </w:r>
    </w:p>
    <w:p>
      <w:r>
        <w:t>Au surplus, l'appel a été formé dans le délai et selon la forme prescrite par la loi (art. 130, 131, 311 al. 1 et 2 CPC). Il est donc recevable. Il en va de même de la réponse de l'intimé (art. 145 al. 1 let. c et 312 CPC) et des écritures subséquentes des parties, déposées dans les délais légaux, respectivement impartis à cet effet.</w:t>
      </w:r>
    </w:p>
    <w:p>
      <w:r>
        <w:rPr>
          <w:b/>
        </w:rPr>
        <w:t>E. 2.1</w:t>
      </w:r>
    </w:p>
    <w:p>
      <w:r>
        <w:t>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w:t>
      </w:r>
    </w:p>
    <w:p>
      <w:r>
        <w:t>- 10/23 -</w:t>
      </w:r>
    </w:p>
    <w:p>
      <w:r>
        <w:t>C/6672/2018 En revanche, les maximes de disposition (art. 58 al. 1 CPC; ATF 128 III 411 consid. 3.2.2; arrêt du Tribunal fédéral 5A_693/2007 du 18 février 2008 consid. 6) et des débats sont applicables (art. 277 al. 1 CPC) s'agissant de la contribution d'entretien due à l'épouse (arrêt du Tribunal fédéral 5A_97/2017 du 23 août 2017 consid. 3.3.1).</w:t>
      </w:r>
    </w:p>
    <w:p>
      <w:r>
        <w:rPr>
          <w:b/>
        </w:rPr>
        <w:t>E. 2.2</w:t>
      </w:r>
    </w:p>
    <w:p>
      <w:r>
        <w:t>En application du principe de la force de chose jugée partielle instituée par l'art. 315 al. 1 CPC, la Cour ne peut revoir d'office que les dispositions du jugement entrepris qui sont remises en cause en appel. En conséquence, les chiffres 1 à 4, 6, 7, 9, 10, 14 et 15 du dispositif du jugement querellé, non remis en cause par les parties, sont entrés en force de chose jugée. Les chiffres 11 à 13, relatifs aux frais, pourront encore être revus d'office en cas d'annulation de tout ou partie du jugement entrepris dans le cadre du présent appel (art. 318 al. 3 CPC).</w:t>
      </w:r>
    </w:p>
    <w:p>
      <w:r>
        <w:rPr>
          <w:b/>
        </w:rPr>
        <w:t>E. 3</w:t>
      </w:r>
    </w:p>
    <w:p>
      <w:r>
        <w:t>L'appelante produit des pièces nouvelles et allègue des faits nouveaux.</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ou devenus majeurs en cours de procédure, où les maximes d'office et inquisitoire illimitée s'appliquent, tous les nova sont admis en appel, selon la jurisprudence de la Cour de céans (cf. ACJC/1083/2019 consid. 2.1; ACJC/345/2016 consid. 3.1; ACJC/361/2013 consid 1.3).</w:t>
      </w:r>
    </w:p>
    <w:p>
      <w:r>
        <w:rPr>
          <w:b/>
        </w:rPr>
        <w:t>E. 3.2</w:t>
      </w:r>
    </w:p>
    <w:p>
      <w:r>
        <w:t>En l'occurrence, les pièces produites par l'appelante sont recevables dans la mesure où elles concernent l'établissement de ses revenus et de ses charges, ainsi que celles de l'enfant C______, et sont dès lors susceptibles d'influencer la contribution d'entretien due à ce dernier. L'intimé conclut à l'irrecevabilité des pièces 1 et 2 produites par l'appelante, ainsi que des allégués y relatifs, concernant la fin des rapports de travail de l'appelante avec la Ville de D______. Toutefois, ces pièces, bien qu'établies avant que la cause ait été gardée à juger en première instance, peuvent avoir un impact sur la situation financière de l'appelante, notamment sous l'angle du revenu hypothétique pouvant lui être imputé, de sorte qu'elles doivent être déclarées recevables pour les motifs exposés ci-dessus.</w:t>
      </w:r>
    </w:p>
    <w:p>
      <w:r>
        <w:rPr>
          <w:b/>
        </w:rPr>
        <w:t>E. 4</w:t>
      </w:r>
    </w:p>
    <w:p>
      <w:r>
        <w:t>L'appelante a modifié ses conclusions devant la Cour.</w:t>
      </w:r>
    </w:p>
    <w:p>
      <w:r>
        <w:t>- 11/23 -</w:t>
      </w:r>
    </w:p>
    <w:p>
      <w:r>
        <w:t>C/6672/2018</w:t>
      </w:r>
    </w:p>
    <w:p>
      <w:r>
        <w:rPr>
          <w:b/>
        </w:rPr>
        <w:t>E. 4.1</w:t>
      </w:r>
    </w:p>
    <w:p>
      <w:r>
        <w:t>Aux termes de l'art. 317 al. 2 CPC, la demande ne peut être modifiée que si les conditions fixées à l'art. 227 al. 1 CPC sont remplies (let. a) et que la modification repose sur des faits ou des moyens de preuve nouveaux (let. b). La prétention nouvelle ou modifiée doit non seulement relever de la procédure applicable en appel, mais encore - sauf renonciation de la partie adverse à cette autre condition - présenter un lien de connexité avec l'objet de l'appel (art. 227 al. 1 let. a et b CPC). En outre, les conclusions nouvelles ne sont recevables que dans la mesure où elles reposent sur des faits ou moyens de preuve nouveaux, lesquels doivent bien évidemment être recevables en appel, en application de l'art. 317 al. 1 CPC. Tout changement de conclusions (objet de la demande au sens étroit) constitue de facto une modification de la demande, qu'il s'agisse d'une amplification, d'un chiffrage nouveau, d'un changement de nature, d'une réduction ou d'un abandon (ACJC/1553/2015 du 9 décembre 2015; SCHWEIZER, in CPC, Code de procédure civile commenté, 2011, n. 14 ad art. 227 CPC).</w:t>
      </w:r>
    </w:p>
    <w:p>
      <w:r>
        <w:rPr>
          <w:b/>
        </w:rPr>
        <w:t>E. 4.2</w:t>
      </w:r>
    </w:p>
    <w:p>
      <w:r>
        <w:t>En l'espèce, devant le Tribunal, l'appelante concluait au versement d'une contribution d'entretien post-divorce de 500 fr. En appel, elle conclut au versement d'une contribution d'entretien post-divorce de 800 fr. Cette nouvelle conclusion repose sur des faits nouveaux, soit sur la modification de la situation professionnelle de l'appelante, laquelle entraîne selon elle une diminution de ses revenus par rapport à ceux qu'elle avait pris en compte dans ses écritures de première instance, ainsi que l'augmentation de ses charges. Par ailleurs, ces faits nouveaux sont documentés par pièces, lesquelles ont été déclarées recevables ci-dessus (cf supra 3.2). Par conséquent, cette nouvelle conclusion de l'appelante est recevable.</w:t>
      </w:r>
    </w:p>
    <w:p>
      <w:r>
        <w:rPr>
          <w:b/>
        </w:rPr>
        <w:t>E. 5</w:t>
      </w:r>
    </w:p>
    <w:p>
      <w:r>
        <w:t>L'appelante sollicite qu'il soit ordonné à l'intimé de produire son certificat de salaire 2018 et ses décomptes mensuels de salaire pour les mois de janvier à août 2019. Cette nouvelle conclusion, qui peut avoir un impact sur le montant de la contribution d'entretien en faveur de l'enfant, est en soi recevable en appel, le juge n'étant pas lié par les conclusions des parties s'agissant des questions relatives à l'enfant mineur (cf. supra ch. 2.1). Cependant, la Cour ne discerne pas d'indices justifiant qu'une telle mesure soit ordonnée en appel. En effet, la situation financière de l'intimé en 2018 est connue et ce dernier n'a pas changé d'emploi depuis lors. Par ailleurs, l'appelante ne conteste pas en appel le montant du salaire mensuel net de l'intimé retenu par le premier juge. La Cour considère dès lors que le dossier est en état d'être jugé, de sorte que cette conclusion préalable sera rejetée.</w:t>
      </w:r>
    </w:p>
    <w:p>
      <w:r>
        <w:t>- 12/23 -</w:t>
      </w:r>
    </w:p>
    <w:p>
      <w:r>
        <w:t>C/6672/2018</w:t>
      </w:r>
    </w:p>
    <w:p>
      <w:r>
        <w:rPr>
          <w:b/>
        </w:rPr>
        <w:t>E. 6</w:t>
      </w:r>
    </w:p>
    <w:p>
      <w:r>
        <w:t>L’appelante conteste la quotité de la pension alimentaire allouée en faveur de l'enfant C______, ainsi que le refus du premier juge de lui allouer une contribution d'entretien post-divorce. Elle invoque une constatation inexacte des faits s'agissant du revenu hypothétique qui lui a été imputé par le Tribunal et une violation des art. 285 CC et 125 CC.</w:t>
      </w:r>
    </w:p>
    <w:p>
      <w:r>
        <w:rPr>
          <w:b/>
        </w:rPr>
        <w:t>E. 6.1.1</w:t>
      </w:r>
    </w:p>
    <w:p>
      <w:r>
        <w:t>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L'article 285 al. 2 CC prévoit que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(ATF 144 III 377 consid. 7.1.3; arrêt du Tribunal fédéral 5A_830/2018 du 21 mai 2019 consid. 4.1 et la référence citée). Aux frais directs générés par l'enfant viennent donc s'ajouter les coûts indirects de sa prise en charge, indépendamment du statut civil de ses parents (ATF 144 III 377 consid. 7.1.1; arrêt du Tribunal fédéral 5A_830/2018 du 21 mai 2019 consid. 4.1 et les références citées). Les frais de subsistance ne vont pas au-delà de ce qui est nécessaire pour permettre financièrement au parent qui s'occupe de l'enfant de le faire : la contribution de prise en charge ne se détermine pas selon des critères liés à une part du revenu du débiteur, mais à l'aune des besoins du parent gardien. Le calcul de la contribution de prise en charge se fera sur la base du montant qui, selon les cas, manque à un parent pour couvrir ses propres frais de subsistance (arrêt du Tribunal fédéral 5A_968/2017 du 25 septembre 2018 consid. 3.1.1). Il convient dès lors de se fonder, en principe, sur le minimum vital</w:t>
      </w:r>
    </w:p>
    <w:p>
      <w:r>
        <w:t>- 13/23 -</w:t>
      </w:r>
    </w:p>
    <w:p>
      <w:r>
        <w:t>C/6672/2018 du droit de la famille, qui excède le minimum vital du droit des poursuites (arrêt du Tribunal fédéral 5A_454/2017 du 17 mai 2018 consid. 7.1.4; ACJC/292/2019 du 26 février 2019 consid. 8.1.2). Le législateur n'a pas arrêté de mode de calcul pour fixer la contribution à l'entretien d'enfants mineurs (ATF 128 III 411 consid. 3.2.2).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(Normes d'insaisissabilité pour l'année 2020, RS E 3 60.04, I). La part de frais médicaux non couverte par l'assurance et la franchise peuvent être prises en compte si des frais effectifs réguliers sont établis (arrêt du Tribunal fédéral 5A_557/2015 du 1er février 2016 consid. 4.2; ACJC/1261/2015 du 16 octobre 2015 consid. 4.1; ACJC/1179/2013 du 27 septembre 2013 consid. 6.1; BASTONS BULLETTI, L'entretien après divorce : méthode de calcul, montant, durée et limites in SJ 2007 II p. 77 ss, p. 86 et 102). Lorsque la situation financière des parties le permet, il est également justifié d'ajouter au minimum vital du droit des poursuites certains suppléments, non strictement nécessaires, tels que la charge fiscale courante (ATF 140 III 337 consid. 4.2.3 et 4.4; arrêt du Tribunal fédéral 5A_565/2016 du 16 février 2017 consid. 4.1.1). 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(ATF 108 III 60 = JdT 1984 II 130; DCSO/88/2013 du 4 avril 2013 consid. 4.3; COLLAUD, Le minimum vital selon l'article 93 LP, in RFJ 2012, p. 299 ss, p. 317). Les frais de voiture comprennent les assurances, les impôts, le carburant, l'entretien, la place de parc absolument nécessaire au domicile pour autant qu'elle ne soit pas comprise dans le loyer ou au lieu de travail, le leasing pour autant que le montant soit raisonnable et régulièrement versé mais non pas l'amortissement (DCSO/88/2013 du 4 avril 2013 consid. 4.3). Il convient de se fonder sur les frais effectifs, à savoir les kilomètres parcourus, les trajets ainsi que le prix de l'essence</w:t>
      </w:r>
    </w:p>
    <w:p>
      <w:r>
        <w:t>- 14/23 -</w:t>
      </w:r>
    </w:p>
    <w:p>
      <w:r>
        <w:t>C/6672/2018 et de l'entretien (DCSO/476/2006 du 18 juillet 2006 consid. 4a; COLLAUD, op. cit., p. 317). Si les frais de véhicule sont trop élevés, l'Office doit laisser au débiteur un délai raisonnable pour acquérir un véhicule standard (DCSO/88/2013 du 4 avril 2013 consid. 4.4). La charge fiscale doit être actualisée (arrêts du Tribunal fédéral 5A_955/2015 du 29 août 2016 consid. 3 et 5A_581/2014 du 3 novembre 2014 consid. 3). La prime d'assurance RC ménage doit être prise en considération puisque le bail paritaire romand impose au locataire la conclusion d'une assurance responsabilité civile et que les assureurs proposent en règle générale une assurance combinant les deux risques (ACJC/457/2013 du 12 avril 2013 consid. 3.2). Il est nécessaire de répartir entre le parent gardien et les enfants le coût du logement. Pour ce faire, il est possible de prendre en considération le 20% du loyer raisonnable à la charge d'un seul enfant et le 30% de ce loyer à la charge de deux enfants (arrêt du Tribunal fédéral 5A_464/2012 du 30 novembre 2012 consid. 4.6.3; BASTONS BULLETTI, op. cit., p. 102, note marginale 140). 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w:t>
      </w:r>
    </w:p>
    <w:p>
      <w:r>
        <w:rPr>
          <w:b/>
        </w:rPr>
        <w:t>E. 6.1.2</w:t>
      </w:r>
    </w:p>
    <w:p>
      <w:r>
        <w:t>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op. cit., p. 114).</w:t>
      </w:r>
    </w:p>
    <w:p>
      <w:r>
        <w:rPr>
          <w:b/>
        </w:rPr>
        <w:t>E. 6.2</w:t>
      </w:r>
    </w:p>
    <w:p>
      <w:r>
        <w:t>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 Une contribution d'entretien est due en vertu du principe de la solidarité si le mariage a eu une influence concrète sur les conditions d'existence de l'époux ("lebensprägende Ehe"), en d'autres termes si le mariage a créé pour celui-ci - par</w:t>
      </w:r>
    </w:p>
    <w:p>
      <w:r>
        <w:t>- 15/23 -</w:t>
      </w:r>
    </w:p>
    <w:p>
      <w:r>
        <w:t>C/6672/2018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5A_968/2017 du 25 septembre 2018 consid. 4.1 et les références citées).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arrêt du Tribunal fédéral 5A_968/2017 du 25 septembre 2018 consid. 4.1 et la référence citée).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rPr>
          <w:b/>
        </w:rPr>
        <w:t>E. 6.3</w:t>
      </w:r>
    </w:p>
    <w:p>
      <w:r>
        <w:t>Tant le débiteur d'entretien que le créancier peuvent se voir imputer un revenu hypothétique supérieur à leur revenu réel. Il s'agit ainsi d'inciter la personne à réaliser le revenu qu'elle est en mesure de se procurer et qu'on peut raisonnablement exiger d'elle afin de remplir ses obligations (ATF 143 III 233 consid. 3.2; 137 III 102 consid. 4.2.2.2; ACJC/1480/2019 du 4 octobre 2019 consid. 3.1.2). Lorsque le juge entend tenir compte d'un revenu hypothétique, il doit examiner successivement deux conditions. Il doit d'abord déterminer si l'on peut</w:t>
      </w:r>
    </w:p>
    <w:p>
      <w:r>
        <w:t>- 16/23 -</w:t>
      </w:r>
    </w:p>
    <w:p>
      <w:r>
        <w:t>C/6672/2018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ACJC/1480/2019 du 4 octobre 2019 consid. 3.1.2).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ACJC/1526/2019 du 15 octobre 2019 consid. 4.2).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2.1.2; ACJC/1526/2019 du 15 octobre 2019 consid. 4.2). Néanmoins, il n'est pas arbitraire de s'écarter de ces principes si une personne renonce volontairement à une partie de ses ressources. Ainsi,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5A_931/2017 du 1er novembre 2018 consid. 3.1.2; 5A_384/2018 du 21 septembre 2018 destiné à la publication consid. 4.7.6; 5A_454/2017 du 17 mai 2018 consid. 6.1.2.2 non publié in ATF 144 III 377; ACJC/1247/2019 du 29 août 2019 consid. 2.1.3).</w:t>
      </w:r>
    </w:p>
    <w:p>
      <w:r>
        <w:rPr>
          <w:b/>
        </w:rPr>
        <w:t>E. 6.4</w:t>
      </w:r>
    </w:p>
    <w:p>
      <w:r>
        <w:t>En l'espèce, l'appelante critique tant l'établissement de sa situation financière que celle de son époux, ainsi que les charges de l'enfant retenues par le Tribunal.</w:t>
      </w:r>
    </w:p>
    <w:p>
      <w:r>
        <w:rPr>
          <w:b/>
        </w:rPr>
        <w:t>E. 6.4.1</w:t>
      </w:r>
    </w:p>
    <w:p>
      <w:r>
        <w:t>Le revenu mensuel net de l'intimé s'élève à 7'074 fr. 50, ce qui n'est pas contesté en appel.</w:t>
      </w:r>
    </w:p>
    <w:p>
      <w:r>
        <w:t>- 17/23 -</w:t>
      </w:r>
    </w:p>
    <w:p>
      <w:r>
        <w:t>C/6672/2018 L'appelante allègue que l'assurance garantie de loyer de l'intimé n'aurait pas dû être prise en compte dans les charges de ce dernier par le Tribunal, par égalité de traitement, au motif que le premier juge n'a pas pris en compte dans ses propres charges sa prime d'assurance liée à des objets de valeur. Or, contrairement à la souscription d'une assurance pour objets de valeur, la constitution d'une garantie de loyer est obligatoire. Aussi, c'est à juste titre que le premier juge a retenu le montant mensuel de 19 fr. 40 acquitté par l'intimé à ce titre. Par ailleurs, l'appelante allègue que les frais de leasing ainsi que l'augmentation des assurances et impôts y relatifs et les frais de parking n'auraient pas dû être pris en compte par le Tribunal, l'intimé ayant intentionnellement augmenté ses frais de transport sans besoin personnel, ni professionnel. Toutefois, l'intimé a besoin de son véhicule pour l'exercice de son large droit de visite, son domicile étant à L______ (GE) et celui de l'appelante ainsi que de l'enfant C______ à H______, communes qui ne sont pas reliées par les transports publics. En outre, l'intimé travaille à M______ (GE), commune qui est également peu accessible au moyen des transports publics. L'appelante allègue que l'intimé se rendrait à son travail en moto. Toutefois, elle n'apporte pas de preuve à ses allégations, qui ne seront donc pas prises en compte. Par ailleurs, le montant du leasing relatif au véhicule - d'occasion - de l'intimé apparaît raisonnable, tout comme les autres frais du véhicule pris en compte par le premier juge (740 fr. 40 au total, soit l'assurance véhicule de 126 fr. 55, le leasing de 465 fr. 15, l'impôt relatif au véhicule de 28 fr. 70 et la location d'une place de parking de 120 fr.). Ils seront donc confirmés en appel. L'assurance RC ménage sera incluse puisque le bail paritaire romand en impose la conclusion et que la prime y relative comprend ces deux risques. Finalement, l'appelante allègue que l'intimé supporterait une charge fiscale de l'ordre de 500 fr. Toutefois, elle ne documente pas cette allégation, laquelle ne sera dès lors pas prise en considération. Le montant mensuel de 1'000 fr. pris en compte à ce titre par le premier juge sera retenu car il apparaît adéquat compte tenu du revenu annuel brut de l'appelant et de la contribution à l'entretien de l'enfant C______ de 14'400 fr. par an qu'il sera condamné à verser (1'200 fr. x 12, cf. consid. 6.4.3 ci-dessous). Les charges mensuelles de l'intimé totalisent ainsi 5'440 fr. (loyer : 2'036 fr., assurance garantie de loyer : 19 fr. 40, prime d'assurance RC et ménage : 31 fr. 40, primes d'assurance LAMal et LCA : 388 fr., frais médicaux : 26 fr. 50, frais de véhicule : 740 fr. 40, impôts estimés à : 1'000 fr. et minimum vital OP : 1'200 fr.). Le solde disponible de l'intimé s'élève dès lors à 1'634 fr. par mois.</w:t>
      </w:r>
    </w:p>
    <w:p>
      <w:r>
        <w:rPr>
          <w:b/>
        </w:rPr>
        <w:t>E. 6.4.2</w:t>
      </w:r>
    </w:p>
    <w:p>
      <w:r>
        <w:t>- 18/23 -</w:t>
      </w:r>
    </w:p>
    <w:p>
      <w:r>
        <w:t>C/6672/2018</w:t>
      </w:r>
    </w:p>
    <w:p>
      <w:r>
        <w:rPr>
          <w:b/>
        </w:rPr>
        <w:t>E. 6.4.2.1</w:t>
      </w:r>
    </w:p>
    <w:p>
      <w:r>
        <w:t>L'appelante admet qu'un revenu hypothétique pour un taux de travail de 60% lui soit imputé. Elle conteste toutefois le montant de ce revenu retenu par le Tribunal, soit 4'400 fr. nets par mois, correspondant à son emploi auprès de la Ville de D______, en qualité de secrétaire. Pour définir le montant du revenu hypothétique à prendre en compte, le premier juge est parti du principe que l'appelante avait mis volontairement un terme à cet emploi, compte tenu des termes du courrier de licenciement du 19 décembre 2018. Il ressort toutefois des pièces complémentaires produites par l'appelante en appel, soit un échange de courriels entre l'appelante et son employeur du 4 décembre 2018, ainsi qu'une convention de fin des rapports de service du 19 décembre 2018, que l'employeur a décidé unilatéralement de mettre un terme au contrat de travail. Par ailleurs, comme l'allègue l'appelante, le salaire net de 4'433 fr. qu'elle percevait alors, pour un travail de secrétaire à 60%, apparaît élevé. En effet, selon le calculateur national des salaires, un tel emploi permet de percevoir, dans le canton de Genève, un salaire mensuel brut oscillant entre 3'300 fr et 4'000 fr. Le revenu hypothétique de 4'400 fr. nets arrêté par le Tribunal apparaît ainsi trop élevé, compte tenu de ce qui précède. L'appelante a retrouvé un emploi auprès de J______, en qualité de commise greffière à 50%, à compter du 1er juin 2019, pour un salaire mensuel net de 3'240 fr. 25. Toutefois, elle a décidé de mettre un terme à cet emploi, moins d'un mois après l'avoir débuté, au motif selon son médecin-psychiatre qu'elle "était passablement perturbée par la tâche principale de son activité, à savoir la saisie informatique des avis de décès de citoyens genevois (adultes, enfants, enfants mort-nés, etc.) alors qu'elle-même est la mère d'enfants en bas-âge et a perdu deux bébés "in utero". Or, ces termes sont vagues et l'appelante ne démontre pas en quoi ce travail l'affecterait plus qu'un autre employé. Par ailleurs, elle savait en quoi son travail consisterait lorsqu'elle a postulé et a été engagée. Il apparaît ainsi que l'appelante a volontairement renoncé à cette activité lucrative, alors qu'elle doit être en mesure de subvenir à ses besoins à hauteur de 60%, tel que cela était le cas avant la séparation des parties. Par conséquent, le revenu réalisé par l'appelante dans le cadre de ce dernier emploi sera pris en compte pour déterminer le montant du revenu hypothétique pouvant lui être imputé. L'appelante a réalisé un revenu mensuel net de 3'240 fr. 25, pour une activité à 50%. Etant donné qu'un taux d'activité de 60% peut être exigé de sa part, ce qu'elle ne conteste pas, il convient de déterminer quel salaire elle aurait perçu pour un taux d'activité de 60%. Le traitement de base mensuel pour une activité à temps complet s'élevant à 6'974 fr. 85, cela correspond à un montant de 4'184 fr. 91 par mois, treizième salaire compris, pour un emploi à 60%. Ce montant correspond à un salaire mensuel brut de 4'533 fr. 65 (4'184 fr. 91 x 13 /12), soit à un salaire mensuel net de l'ordre de 4'000 fr.</w:t>
      </w:r>
    </w:p>
    <w:p>
      <w:r>
        <w:t>- 19/23 -</w:t>
      </w:r>
    </w:p>
    <w:p>
      <w:r>
        <w:t>C/6672/2018 Contrairement à ce qu'allègue l'intimé, il ne peut être exigé de l'appelante qu'elle augmente son taux de travail au-delà de 60%, compte tenu de l'âge de l'enfant C______. Par conséquent, le revenu hypothétique de l'appelante sera arrêté à 4'000 fr. nets par mois dès le 1er juillet 2019.</w:t>
      </w:r>
    </w:p>
    <w:p>
      <w:r>
        <w:rPr>
          <w:b/>
        </w:rPr>
        <w:t>E. 6.4.2.2</w:t>
      </w:r>
    </w:p>
    <w:p>
      <w:r>
        <w:t>L'appelante allègue que ses frais SIG, ainsi que ses frais de téléphone, auraient dû être pris en compte dans ses charges par le Tribunal. Toutefois, les frais de téléphone et d'électricité sont déjà inclus dans le montant de base OP, de sorte qu'il ne se justifie pas de les prendre en compte une deuxième fois. Le montant de la prime d'assurance RC et ménage, des primes d'assurance LAMal et LCA, des frais médicaux non remboursés et des frais de véhicule seront actualisés ci-dessous, compte tenu des pièces produites par l'appelante en appel. S'agissant de sa charge fiscale, elle allègue un montant de 500 fr. Toutefois, elle produit uniquement la page de synthèse de sa déclaration fiscale 2018, laquelle ne permet pas de justifier ce montant. Il convient dès lors de prendre en compte le montant mensuel de 100 fr. retenu à ce titre par le premier juge, lequel est justifié compte tenu du revenu annuel brut hypothétique pris en compte, soit 54'403 fr. (4'533 fr. x 12), et des autres revenus, soit de la contribution à l'entretien de l'enfant C______ de 14'400 fr. par an (1'200 fr. x 12, cf. consid. 6.4.3 ci-dessous). Ses charges mensuelles totalisent ainsi 3'836 fr. 73 (participation au loyer, soit 70% de 2'060 fr : 1'442 fr., prime d'assurance RC et ménage (453 fr. 60 /12) : 37 fr. 80, primes d'assurance LAMal et LCA : 688 fr. 80, frais médicaux (1'363 fr. 60 /12) : 113 fr. 63, frais de véhicule (85 fr. 54 d'assurance véhicule (1'026 fr. 50 /12) et 18 fr. 96 d'impôts (227 fr. 60 /12): 104 fr. 50, impôts estimés à : 100 fr. et minimum vital OP : 1'350 fr.). Le solde disponible de l'appelante s'élève dès lors à 163 fr. par mois.</w:t>
      </w:r>
    </w:p>
    <w:p>
      <w:r>
        <w:rPr>
          <w:b/>
        </w:rPr>
        <w:t>E. 6.4.3</w:t>
      </w:r>
    </w:p>
    <w:p>
      <w:r>
        <w:t>S'agissant des charges de l'enfant C______, les frais de nounou et de parascolaire ne sont pas établis par l'appelante, de sorte qu'ils ne seront pas retenus. L'appelante n'apporte pas non plus la preuve que C______ serait scolarisé uniquement le matin, ce qui est par ailleurs contesté par l'intimé. Ce dernier admettant les charges de C______ telles que prises en compte par le Tribunal, le montant de 550 fr. 25 sera retenu s'agissant des frais de parascolaire et de restaurant scolaire, ainsi que des éventuels frais de nounou, étant souligné que le premier juge a également pris en compte dans le jugement litigieux le fait que les frais de garde seraient prochainement partiellement remplacés par des frais de parascolaire, ainsi que par d'éventuelles activités extrascolaires.</w:t>
      </w:r>
    </w:p>
    <w:p>
      <w:r>
        <w:t>- 20/23 -</w:t>
      </w:r>
    </w:p>
    <w:p>
      <w:r>
        <w:t>C/6672/2018 Le montant des primes d'assurance LAMal et LCA et des frais médicaux non remboursés seront actualisés ci-dessous, compte tenu des pièces produites par l'appelante en appel. Les charges mensuelles de l'enfant C______ totalisent ainsi 1'485 fr. 74, respectivement 1'185 fr. 74 après déduction des 300 fr. d'allocations familiales (part de 15% du loyer de 2'060 fr. : 309 fr., primes d'assurance LAMal et LCA : 184 fr. 30, frais médicaux (506 fr. 35 /12): 42 fr. 19, frais de garde : 550 fr. 25 et minimum vital OP : 400 fr.). L'appelante couvrant ses charges mensuelles admissibles, aucune contribution de prise en charge ne sera ajoutée aux besoins courants d'entretien de l'enfant. Par ailleurs, il convient de relever que l'appelante n'a pas cessé son activité lucrative pour pouvoir prendre en charge l'enfant des parties, mais parce qu'elle a été licenciée et s'est retrouvée au chômage, de sorte qu'aucune contribution de prise en charge ne serait, en tout état, due si elle ne couvrait pas ses charges. Compte tenu de la diminution du revenu hypothétique de l'appelante (4'000 fr. nets par mois) par rapport à celui arrêté par le Tribunal (4'400 fr. nets par mois), du solde disponible de l'appelante de 163 fr. et de celui de l'intimé de 1'634 fr., il est équitable de fixer la contribution mensuelle due à l'entretien de l'enfant C______ à 1'200 fr., ce qui couvre les charges de ce dernier, l'appelante pourvoyant à son entretien par les soins quotidiens qu'elle lui apporte. Il se justifie de fixer des échelons de la contribution, pour tenir compte de l'augmentation prévisible des charges de l'enfant, en particulier des frais de transport et du montant de base OP à 600 fr. dès l'âge de 10 ans, ainsi que des activités extrascolaires (loisirs, argent de poche, frais de téléphone…). La contribution due par l'intimé pour l'entretien de l'enfant C______ sera dès lors augmentée à 1'300 fr. par mois dès les 10 ans révolus de l'enfant et à 1'400 fr. par mois dès ses 15 ans révolus et jusqu'à 18 ans, voire au-delà en cas d'études ou de formation sérieuse(s) et régulière(s).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ACJC/1872/2019 du 10 décembre 2019 consid. 4.3). Le jugement de divorce ne précisant pas le dies a quo du versement de la contribution à l'entretien de l'enfant et les parties n'ayant pas pris de conclusion sur ce point, la contribution d'entretien mensuelle de 1'200 fr. fixée ci-dessus sera due dès le dépôt de la demande de divorce, soit dès le 22 mars 2018. Le chiffre 5 du dispositif du jugement entrepris sera dès lors modifié dans ce sens.</w:t>
      </w:r>
    </w:p>
    <w:p>
      <w:r>
        <w:t>- 21/23 -</w:t>
      </w:r>
    </w:p>
    <w:p>
      <w:r>
        <w:t>C/6672/2018</w:t>
      </w:r>
    </w:p>
    <w:p>
      <w:r>
        <w:rPr>
          <w:b/>
        </w:rPr>
        <w:t>E. 6.4.4</w:t>
      </w:r>
    </w:p>
    <w:p>
      <w:r>
        <w:t>Le disponible de l'intimé, après paiement de la contribution mensuelle d'entretien due à son fils, est de 434 fr. par mois (1'634 fr. – 1'200 fr.), alors que celui de l'appelante est de 163 fr. Il n'existe donc pas de disparité à laquelle il serait justifié, compte tenu des circonstances du cas d'espèce, notamment du large droit de visite, de remédier par le partage du disponible du couple entre les parties, afin d'assurer le maintien du standard de vie antérieur. En outre, l'appelante n'allègue pas que le train de vie des parties durant la vie commune était supérieur à ses charges retenues ci-dessus, lesquelles sont couvertes par le revenu hypothétique qui lui a été imputé. C'est ainsi à juste titre que le premier juge n'a fixé aucune contribution d'entretien post-divorce en faveur de l'appelante. Le chiffre 8 du dispositif du jugement entrepris sera donc confirmé.</w:t>
      </w:r>
    </w:p>
    <w:p>
      <w:r>
        <w:rPr>
          <w:b/>
        </w:rPr>
        <w:t>E. 7.1</w:t>
      </w:r>
    </w:p>
    <w:p>
      <w:r>
        <w:t>Si l'instance d'appel statue à nouveau, elle se prononce sur les frais de la première instance (art. 318 al. 1 CPC). Le jugement attaqué n'est pas critiquable en tant que le Tribunal, faisant application de l'art. 107 al. 1 let. c CPC, a mis les frais judiciaires de première instance - fixés à 1'200 fr. conformément aux règles applicables (art. 95, 96, 104 al.1 CPC; 30 RTFMC) - à la charge des parties par moitié chacune et a renoncé à allouer des dépens. Les chiffres 11 à 13 du dispositif du jugement attaqué seront ainsi confirmés.</w:t>
      </w:r>
    </w:p>
    <w:p>
      <w:r>
        <w:rPr>
          <w:b/>
        </w:rPr>
        <w:t>E. 7.2</w:t>
      </w:r>
    </w:p>
    <w:p>
      <w:r>
        <w:t>Les frais judiciaires d'appel seront arrêtés à 2'000 fr. (art. 30 et 35 RTFMC) et partiellement compensés avec l'avance de frais de 1'500 fr. fournie par l'appelante, qui reste acquise à l'Etat (art. 111 al. 1 CPC).</w:t>
      </w:r>
    </w:p>
    <w:p>
      <w:r>
        <w:t>Compte tenu de la nature familiale et de l'issue du litige, ils seront répartis par moitié entre les parties, soit 1'000 fr. à charge de chacune (art. 107 al. 1 let. c CPC). L'intimé sera donc condamné à payer 500 fr. à l'appelante à titre de remboursement des frais judiciaires d'appel. Il sera également condamné à verser 500 fr. à l'Etat de Genève, soit pour lui les Services financiers du Pouvoir judiciaire. Pour les mêmes motifs, les parties conserveront à leur charge leurs propres dépens d'appel (art. 95 al. 1 let. b et al. 3, 104 al. 1, 105 al. 2 et 107 al. 1 let. c CPC). * * * * *</w:t>
      </w:r>
    </w:p>
    <w:p>
      <w:r>
        <w:t>- 22/23 -</w:t>
      </w:r>
    </w:p>
    <w:p>
      <w:r>
        <w:t>C/6672/2018 PAR CES MOTIFS, La Chambre civile : A la forme : Déclare recevable l'appel interjeté le 22 août 2019 par A______ contre les chiffres 5 et 8 du dispositif du jugement JTPI/9445/2019 rendu le 21 juin 2019 par le Tribunal de première instance dans la cause C/6672/2018-7. Au fond : Annule le chiffre 5 du dispositif de ce jugement et, statuant à nouveau sur ce point : Condamne B______ à verser en mains de A______, par mois et d'avance, allocations familiales non comprises, depuis le 22 mars 2018, la somme de 1'200 fr. à titre de contribution à l'entretien de l'enfant C______ jusqu'à 10 ans révolus, de 1'300 fr. jusqu'à 15 ans révolus, puis de 1'400 fr. jusqu'à 18 ans, voire au-delà en cas d'études ou de formation professionnelle suivies et sérieuses. Confirme le jugement entrepris pour le surplus. Déboute les parties de toutes autres conclusions. Sur les frais : Arrête les frais judiciaires d'appel à 2'000 fr. et les met à charge de chaque partie par moitié. Dit qu’ils sont partiellement compensés avec l'avance de frais de 1'500 fr. déjà versée par A______, qui demeure acquise à l'Etat de Genève à due concurrence. Condamne B______ à verser la somme de 500 fr. à A______ à titre de remboursement de frais judiciaires d'appel. Condamne B______ à verser la somme de 500 fr. à l'Etat de Genève, soit pour lui les Services financiers du Pouvoir judiciaire. Dit que chaque partie supporte ses propres dépens d'appel.</w:t>
      </w:r>
    </w:p>
    <w:p>
      <w:r>
        <w:t>- 23/23 -</w:t>
      </w:r>
    </w:p>
    <w:p>
      <w:r>
        <w:t>C/6672/2018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